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both"/>
        <w:rPr>
          <w:rFonts w:ascii="Calibri" w:hAnsi="Calibri" w:cs="Arial"/>
          <w:sz w:val="20"/>
          <w:szCs w:val="20"/>
          <w:lang w:val="en-GB"/>
        </w:rPr>
      </w:pPr>
      <w:bookmarkStart w:id="0" w:name="_GoBack"/>
      <w:bookmarkEnd w:id="0"/>
      <w:r>
        <w:rPr>
          <w:rFonts w:cs="Arial" w:ascii="Calibri" w:hAnsi="Calibri"/>
          <w:b/>
          <w:sz w:val="20"/>
          <w:szCs w:val="20"/>
          <w:lang w:val="en-GB"/>
        </w:rPr>
        <w:t>COURSE OUTLINE</w:t>
      </w:r>
    </w:p>
    <w:p>
      <w:pPr>
        <w:pStyle w:val="Normal"/>
        <w:widowControl w:val="false"/>
        <w:numPr>
          <w:ilvl w:val="0"/>
          <w:numId w:val="2"/>
        </w:numPr>
        <w:autoSpaceDE w:val="false"/>
        <w:spacing w:lineRule="auto" w:line="276" w:before="120" w:after="200"/>
        <w:ind w:left="357" w:hanging="357"/>
        <w:jc w:val="both"/>
        <w:rPr/>
      </w:pPr>
      <w:r>
        <w:rPr/>
        <w:t>GENERAL</w:t>
      </w:r>
    </w:p>
    <w:tbl>
      <w:tblPr>
        <w:tblW w:w="844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205"/>
        <w:gridCol w:w="1135"/>
        <w:gridCol w:w="1297"/>
        <w:gridCol w:w="1208"/>
        <w:gridCol w:w="351"/>
        <w:gridCol w:w="1250"/>
      </w:tblGrid>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SCHOOL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cs="Arial" w:ascii="Calibri" w:hAnsi="Calibri"/>
                <w:sz w:val="20"/>
                <w:szCs w:val="20"/>
                <w:lang w:val="en-GB"/>
              </w:rPr>
              <w:t>of Humanities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ACADEMIC UNIT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sz w:val="20"/>
                <w:szCs w:val="20"/>
                <w:lang w:val="en-GB"/>
              </w:rPr>
              <w:t>Department of Mediterranean Studies</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LEVEL OF STUDIES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sz w:val="20"/>
                <w:szCs w:val="20"/>
                <w:lang w:val="en-GB"/>
              </w:rPr>
              <w:t>Undergraduate</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COURSE CODE</w:t>
            </w:r>
          </w:p>
        </w:tc>
        <w:tc>
          <w:tcPr>
            <w:tcW w:w="11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Calibri" w:hAnsi="Calibri" w:cs="Arial"/>
                <w:b/>
                <w:b/>
                <w:sz w:val="20"/>
                <w:szCs w:val="20"/>
                <w:lang w:val="en-GB"/>
              </w:rPr>
            </w:pPr>
            <w:r>
              <w:rPr>
                <w:rFonts w:cs="Calibri" w:ascii="Calibri" w:hAnsi="Calibri"/>
                <w:sz w:val="20"/>
                <w:szCs w:val="20"/>
              </w:rPr>
              <w:t>ΚΥΕ-39</w:t>
            </w:r>
          </w:p>
        </w:tc>
        <w:tc>
          <w:tcPr>
            <w:tcW w:w="2505"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SEMESTER</w:t>
            </w:r>
          </w:p>
        </w:tc>
        <w:tc>
          <w:tcPr>
            <w:tcW w:w="16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rPr>
            </w:pPr>
            <w:r>
              <w:rPr>
                <w:rFonts w:cs="Arial" w:ascii="Calibri" w:hAnsi="Calibri"/>
                <w:sz w:val="20"/>
                <w:szCs w:val="20"/>
              </w:rPr>
              <w:t>3th</w:t>
            </w:r>
          </w:p>
        </w:tc>
      </w:tr>
      <w:tr>
        <w:trPr>
          <w:trHeight w:val="375"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both"/>
              <w:rPr>
                <w:rFonts w:ascii="Calibri" w:hAnsi="Calibri" w:cs="Arial"/>
                <w:b/>
                <w:b/>
                <w:sz w:val="20"/>
                <w:szCs w:val="20"/>
                <w:lang w:val="en-GB"/>
              </w:rPr>
            </w:pPr>
            <w:r>
              <w:rPr>
                <w:rFonts w:cs="Arial" w:ascii="Calibri" w:hAnsi="Calibri"/>
                <w:b/>
                <w:sz w:val="20"/>
                <w:szCs w:val="20"/>
                <w:lang w:val="en-GB"/>
              </w:rPr>
              <w:t>COURSE TITLE</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both"/>
              <w:rPr>
                <w:rFonts w:ascii="Calibri" w:hAnsi="Calibri" w:cs="Arial"/>
                <w:sz w:val="20"/>
                <w:szCs w:val="20"/>
                <w:lang w:val="en-GB"/>
              </w:rPr>
            </w:pPr>
            <w:r>
              <w:rPr>
                <w:rFonts w:cs="Arial" w:ascii="Calibri" w:hAnsi="Calibri"/>
                <w:sz w:val="20"/>
                <w:szCs w:val="20"/>
                <w:lang w:val="en-GB"/>
              </w:rPr>
              <w:t xml:space="preserve">Politics, Economics and International Relations in Southern Europe </w:t>
            </w:r>
          </w:p>
        </w:tc>
      </w:tr>
      <w:tr>
        <w:trPr>
          <w:trHeight w:val="196"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both"/>
              <w:rPr>
                <w:rFonts w:ascii="Calibri" w:hAnsi="Calibri" w:cs="Arial"/>
                <w:b/>
                <w:b/>
                <w:sz w:val="20"/>
                <w:szCs w:val="20"/>
                <w:lang w:val="en-GB"/>
              </w:rPr>
            </w:pPr>
            <w:r>
              <w:rPr>
                <w:rFonts w:cs="Arial" w:ascii="Calibri" w:hAnsi="Calibri"/>
                <w:b/>
                <w:sz w:val="20"/>
                <w:szCs w:val="20"/>
                <w:lang w:val="en-GB"/>
              </w:rPr>
              <w:t xml:space="preserve">INDEPENDENT TEACHING ACTIVITIES </w:t>
              <w:br/>
            </w:r>
            <w:r>
              <w:rPr>
                <w:rFonts w:cs="Arial" w:ascii="Calibri" w:hAnsi="Calibri"/>
                <w:i/>
                <w:sz w:val="20"/>
                <w:szCs w:val="20"/>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both"/>
              <w:rPr>
                <w:rFonts w:ascii="Calibri" w:hAnsi="Calibri" w:cs="Arial"/>
                <w:b/>
                <w:b/>
                <w:sz w:val="20"/>
                <w:szCs w:val="20"/>
                <w:lang w:val="en-GB"/>
              </w:rPr>
            </w:pPr>
            <w:r>
              <w:rPr>
                <w:rFonts w:cs="Arial" w:ascii="Calibri" w:hAnsi="Calibri"/>
                <w:b/>
                <w:sz w:val="20"/>
                <w:szCs w:val="20"/>
                <w:lang w:val="en-GB"/>
              </w:rPr>
              <w:t>WEEKLY TEACHING HOURS</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both"/>
              <w:rPr>
                <w:rFonts w:ascii="Calibri" w:hAnsi="Calibri" w:cs="Arial"/>
                <w:b/>
                <w:b/>
                <w:sz w:val="20"/>
                <w:szCs w:val="20"/>
                <w:lang w:val="en-GB"/>
              </w:rPr>
            </w:pPr>
            <w:r>
              <w:rPr>
                <w:rFonts w:cs="Arial" w:ascii="Calibri" w:hAnsi="Calibri"/>
                <w:b/>
                <w:sz w:val="20"/>
                <w:szCs w:val="20"/>
                <w:lang w:val="en-GB"/>
              </w:rPr>
              <w:t>CREDITS</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sz w:val="20"/>
                <w:szCs w:val="20"/>
                <w:lang w:val="en-GB"/>
              </w:rPr>
              <w:t>3</w:t>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sz w:val="20"/>
                <w:szCs w:val="20"/>
                <w:lang w:val="en-GB"/>
              </w:rPr>
              <w:t>5</w:t>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Arial"/>
                <w:b/>
                <w:b/>
                <w:sz w:val="20"/>
                <w:szCs w:val="20"/>
                <w:lang w:val="en-GB"/>
              </w:rPr>
            </w:pPr>
            <w:r>
              <w:rPr>
                <w:rFonts w:cs="Arial" w:ascii="Calibri" w:hAnsi="Calibri"/>
                <w:b/>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Arial"/>
                <w:b/>
                <w:b/>
                <w:sz w:val="20"/>
                <w:szCs w:val="20"/>
                <w:lang w:val="en-GB"/>
              </w:rPr>
            </w:pPr>
            <w:r>
              <w:rPr>
                <w:rFonts w:cs="Arial" w:ascii="Calibri" w:hAnsi="Calibri"/>
                <w:b/>
                <w:sz w:val="20"/>
                <w:szCs w:val="20"/>
                <w:lang w:val="en-GB"/>
              </w:rPr>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Arial"/>
                <w:b/>
                <w:b/>
                <w:sz w:val="20"/>
                <w:szCs w:val="20"/>
                <w:lang w:val="en-GB"/>
              </w:rPr>
            </w:pPr>
            <w:r>
              <w:rPr>
                <w:rFonts w:cs="Arial" w:ascii="Calibri" w:hAnsi="Calibri"/>
                <w:b/>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sz w:val="20"/>
                <w:szCs w:val="20"/>
                <w:lang w:val="en-GB"/>
              </w:rPr>
            </w:pPr>
            <w:r>
              <w:rPr>
                <w:rFonts w:cs="Arial" w:ascii="Calibri" w:hAnsi="Calibri"/>
                <w:sz w:val="20"/>
                <w:szCs w:val="20"/>
                <w:lang w:val="en-GB"/>
              </w:rPr>
            </w:r>
          </w:p>
        </w:tc>
      </w:tr>
      <w:tr>
        <w:trPr>
          <w:trHeight w:val="194" w:hRule="atLeast"/>
        </w:trPr>
        <w:tc>
          <w:tcPr>
            <w:tcW w:w="5637" w:type="dxa"/>
            <w:gridSpan w:val="3"/>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i/>
                <w:i/>
                <w:sz w:val="20"/>
                <w:szCs w:val="20"/>
                <w:lang w:val="en-GB"/>
              </w:rPr>
            </w:pPr>
            <w:r>
              <w:rPr>
                <w:rFonts w:cs="Arial" w:ascii="Calibri" w:hAnsi="Calibri"/>
                <w:i/>
                <w:sz w:val="20"/>
                <w:szCs w:val="20"/>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Arial"/>
                <w:i/>
                <w:i/>
                <w:sz w:val="20"/>
                <w:szCs w:val="20"/>
                <w:lang w:val="en-GB"/>
              </w:rPr>
            </w:pPr>
            <w:r>
              <w:rPr>
                <w:rFonts w:cs="Arial" w:ascii="Calibri" w:hAnsi="Calibri"/>
                <w:i/>
                <w:sz w:val="20"/>
                <w:szCs w:val="20"/>
                <w:lang w:val="en-GB"/>
              </w:rPr>
            </w:r>
          </w:p>
        </w:tc>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sz w:val="20"/>
                <w:szCs w:val="20"/>
                <w:lang w:val="en-GB"/>
              </w:rPr>
            </w:pPr>
            <w:r>
              <w:rPr>
                <w:rFonts w:cs="Arial" w:ascii="Calibri" w:hAnsi="Calibri"/>
                <w:sz w:val="20"/>
                <w:szCs w:val="20"/>
                <w:lang w:val="en-GB"/>
              </w:rPr>
            </w:r>
          </w:p>
        </w:tc>
      </w:tr>
      <w:tr>
        <w:trPr>
          <w:trHeight w:val="599" w:hRule="atLeast"/>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i/>
                <w:i/>
                <w:sz w:val="20"/>
                <w:szCs w:val="20"/>
                <w:lang w:val="en-GB"/>
              </w:rPr>
            </w:pPr>
            <w:r>
              <w:rPr>
                <w:rFonts w:cs="Arial" w:ascii="Calibri" w:hAnsi="Calibri"/>
                <w:b/>
                <w:sz w:val="20"/>
                <w:szCs w:val="20"/>
                <w:lang w:val="en-GB"/>
              </w:rPr>
              <w:t>COURSE TYPE</w:t>
            </w:r>
          </w:p>
          <w:p>
            <w:pPr>
              <w:pStyle w:val="Normal"/>
              <w:jc w:val="both"/>
              <w:rPr>
                <w:rFonts w:ascii="Calibri" w:hAnsi="Calibri" w:cs="Arial"/>
                <w:b/>
                <w:b/>
                <w:sz w:val="20"/>
                <w:szCs w:val="20"/>
                <w:lang w:val="en-GB"/>
              </w:rPr>
            </w:pPr>
            <w:r>
              <w:rPr>
                <w:rFonts w:cs="Arial" w:ascii="Calibri" w:hAnsi="Calibri"/>
                <w:i/>
                <w:sz w:val="20"/>
                <w:szCs w:val="20"/>
                <w:lang w:val="en-GB"/>
              </w:rPr>
              <w:t xml:space="preserve">general background, </w:t>
              <w:br/>
              <w:t>special background, specialised general knowledge, skills development</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i/>
                <w:sz w:val="20"/>
                <w:szCs w:val="20"/>
                <w:lang w:val="en-GB"/>
              </w:rPr>
              <w:t>specialised general knowledge, skills development</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PREREQUISITE COURSES:</w:t>
            </w:r>
          </w:p>
          <w:p>
            <w:pPr>
              <w:pStyle w:val="Normal"/>
              <w:jc w:val="both"/>
              <w:rPr>
                <w:rFonts w:ascii="Calibri" w:hAnsi="Calibri" w:cs="Arial"/>
                <w:b/>
                <w:b/>
                <w:sz w:val="20"/>
                <w:szCs w:val="20"/>
                <w:lang w:val="en-GB"/>
              </w:rPr>
            </w:pPr>
            <w:r>
              <w:rPr>
                <w:rFonts w:cs="Arial" w:ascii="Calibri" w:hAnsi="Calibri"/>
                <w:b/>
                <w:sz w:val="20"/>
                <w:szCs w:val="20"/>
                <w:lang w:val="en-GB"/>
              </w:rPr>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LANGUAGE OF INSTRUCTION and EXAMINATIONS: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sz w:val="20"/>
                <w:szCs w:val="20"/>
                <w:lang w:val="en-GB"/>
              </w:rPr>
              <w:t>GREEK</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IS THE COURSE OFFERED TO ERASMUS STUDENTS</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sz w:val="20"/>
                <w:szCs w:val="20"/>
                <w:lang w:val="en-GB"/>
              </w:rPr>
            </w:pPr>
            <w:r>
              <w:rPr>
                <w:rFonts w:cs="Arial" w:ascii="Calibri" w:hAnsi="Calibri"/>
                <w:sz w:val="20"/>
                <w:szCs w:val="20"/>
                <w:lang w:val="en-GB"/>
              </w:rPr>
              <w:t>NO</w:t>
            </w:r>
          </w:p>
        </w:tc>
      </w:tr>
      <w:tr>
        <w:trPr/>
        <w:tc>
          <w:tcPr>
            <w:tcW w:w="3205"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COURSE WEBSITE (URL)</w:t>
            </w:r>
          </w:p>
        </w:tc>
        <w:tc>
          <w:tcPr>
            <w:tcW w:w="524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before="0" w:after="200"/>
              <w:jc w:val="both"/>
              <w:rPr>
                <w:rFonts w:ascii="Calibri" w:hAnsi="Calibri" w:eastAsia="Calibri" w:cs="Arial"/>
                <w:b/>
                <w:b/>
                <w:sz w:val="20"/>
                <w:szCs w:val="20"/>
                <w:lang w:val="en-GB"/>
              </w:rPr>
            </w:pPr>
            <w:r>
              <w:rPr>
                <w:rFonts w:eastAsia="Calibri" w:cs="Arial" w:ascii="Calibri" w:hAnsi="Calibri"/>
                <w:b/>
                <w:sz w:val="20"/>
                <w:szCs w:val="20"/>
                <w:lang w:val="en-GB"/>
              </w:rPr>
            </w:r>
          </w:p>
        </w:tc>
      </w:tr>
    </w:tbl>
    <w:p>
      <w:pPr>
        <w:pStyle w:val="Normal"/>
        <w:widowControl w:val="false"/>
        <w:numPr>
          <w:ilvl w:val="0"/>
          <w:numId w:val="2"/>
        </w:numPr>
        <w:autoSpaceDE w:val="false"/>
        <w:spacing w:lineRule="auto" w:line="276" w:before="120" w:after="200"/>
        <w:ind w:left="357" w:hanging="357"/>
        <w:jc w:val="both"/>
        <w:rPr>
          <w:rFonts w:ascii="Calibri" w:hAnsi="Calibri" w:cs="Arial"/>
          <w:b/>
          <w:b/>
          <w:sz w:val="20"/>
          <w:szCs w:val="20"/>
          <w:lang w:val="en-GB"/>
        </w:rPr>
      </w:pPr>
      <w:r>
        <w:rPr>
          <w:rFonts w:cs="Arial" w:ascii="Calibri" w:hAnsi="Calibri"/>
          <w:b/>
          <w:sz w:val="20"/>
          <w:szCs w:val="20"/>
          <w:lang w:val="en-GB"/>
        </w:rPr>
        <w:t>LEARNING OUTCOMES</w:t>
      </w:r>
    </w:p>
    <w:tbl>
      <w:tblPr>
        <w:tblW w:w="8482" w:type="dxa"/>
        <w:jc w:val="left"/>
        <w:tblInd w:w="-113"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3964"/>
        <w:gridCol w:w="4518"/>
      </w:tblGrid>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jc w:val="both"/>
              <w:rPr>
                <w:rFonts w:ascii="Calibri" w:hAnsi="Calibri" w:cs="Arial"/>
                <w:i/>
                <w:i/>
                <w:sz w:val="20"/>
                <w:szCs w:val="20"/>
                <w:lang w:val="en-GB"/>
              </w:rPr>
            </w:pPr>
            <w:r>
              <w:rPr>
                <w:rFonts w:cs="Arial" w:ascii="Calibri" w:hAnsi="Calibri"/>
                <w:b/>
                <w:sz w:val="20"/>
                <w:szCs w:val="20"/>
                <w:lang w:val="en-GB"/>
              </w:rPr>
              <w:t>Learning outcomes</w:t>
            </w:r>
          </w:p>
        </w:tc>
      </w:tr>
      <w:tr>
        <w:trPr/>
        <w:tc>
          <w:tcPr>
            <w:tcW w:w="848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tcPr>
          <w:p>
            <w:pPr>
              <w:pStyle w:val="Normal"/>
              <w:widowControl w:val="false"/>
              <w:autoSpaceDE w:val="false"/>
              <w:spacing w:before="0" w:after="60"/>
              <w:jc w:val="both"/>
              <w:rPr>
                <w:rFonts w:ascii="Calibri" w:hAnsi="Calibri" w:cs="Arial"/>
                <w:i/>
                <w:i/>
                <w:sz w:val="20"/>
                <w:szCs w:val="20"/>
                <w:lang w:val="en-GB"/>
              </w:rPr>
            </w:pPr>
            <w:r>
              <w:rPr>
                <w:rFonts w:cs="Arial" w:ascii="Calibri" w:hAnsi="Calibri"/>
                <w:i/>
                <w:sz w:val="20"/>
                <w:szCs w:val="20"/>
                <w:lang w:val="en-GB"/>
              </w:rPr>
              <w:t>The course learning outcomes, specific knowledge, skills and competences of an appropriate level, which the students will acquire with the successful completion of the course are described.</w:t>
            </w:r>
          </w:p>
          <w:p>
            <w:pPr>
              <w:pStyle w:val="Normal"/>
              <w:autoSpaceDE w:val="false"/>
              <w:jc w:val="both"/>
              <w:rPr>
                <w:rFonts w:ascii="Calibri" w:hAnsi="Calibri" w:cs="Arial"/>
                <w:i/>
                <w:i/>
                <w:sz w:val="20"/>
                <w:szCs w:val="20"/>
                <w:lang w:val="en-GB"/>
              </w:rPr>
            </w:pPr>
            <w:r>
              <w:rPr>
                <w:rFonts w:cs="Arial" w:ascii="Calibri" w:hAnsi="Calibri"/>
                <w:i/>
                <w:sz w:val="20"/>
                <w:szCs w:val="20"/>
                <w:lang w:val="en-GB"/>
              </w:rPr>
              <w:t xml:space="preserve">Consult Appendix A </w:t>
            </w:r>
          </w:p>
          <w:p>
            <w:pPr>
              <w:pStyle w:val="Normal"/>
              <w:widowControl w:val="false"/>
              <w:numPr>
                <w:ilvl w:val="0"/>
                <w:numId w:val="3"/>
              </w:numPr>
              <w:autoSpaceDE w:val="false"/>
              <w:spacing w:lineRule="auto" w:line="276" w:before="0" w:after="200"/>
              <w:ind w:left="313" w:hanging="219"/>
              <w:contextualSpacing/>
              <w:jc w:val="both"/>
              <w:rPr>
                <w:rFonts w:ascii="Calibri" w:hAnsi="Calibri" w:cs="Arial"/>
                <w:i/>
                <w:i/>
                <w:sz w:val="20"/>
                <w:szCs w:val="20"/>
                <w:lang w:val="en-GB"/>
              </w:rPr>
            </w:pPr>
            <w:r>
              <w:rPr>
                <w:rFonts w:cs="Arial" w:ascii="Calibri" w:hAnsi="Calibri"/>
                <w:i/>
                <w:sz w:val="20"/>
                <w:szCs w:val="20"/>
                <w:lang w:val="en-GB"/>
              </w:rPr>
              <w:t>Description of the level of learning outcomes for each qualifications cycle, according to the Qualifications Framework of the European Higher Education Area</w:t>
            </w:r>
          </w:p>
          <w:p>
            <w:pPr>
              <w:pStyle w:val="Normal"/>
              <w:widowControl w:val="false"/>
              <w:numPr>
                <w:ilvl w:val="0"/>
                <w:numId w:val="3"/>
              </w:numPr>
              <w:autoSpaceDE w:val="false"/>
              <w:spacing w:lineRule="auto" w:line="276" w:before="0" w:after="200"/>
              <w:ind w:left="313" w:hanging="219"/>
              <w:contextualSpacing/>
              <w:jc w:val="both"/>
              <w:rPr>
                <w:rFonts w:ascii="Calibri" w:hAnsi="Calibri" w:cs="Arial"/>
                <w:i/>
                <w:i/>
                <w:sz w:val="20"/>
                <w:szCs w:val="20"/>
                <w:lang w:val="en-GB"/>
              </w:rPr>
            </w:pPr>
            <w:r>
              <w:rPr>
                <w:rFonts w:cs="Arial" w:ascii="Calibri" w:hAnsi="Calibri"/>
                <w:i/>
                <w:sz w:val="20"/>
                <w:szCs w:val="20"/>
                <w:lang w:val="en-GB"/>
              </w:rPr>
              <w:t>Descriptors for Levels 6, 7 &amp; 8 of the European Qualifications Framework for Lifelong Learning and Appendix B</w:t>
            </w:r>
          </w:p>
          <w:p>
            <w:pPr>
              <w:pStyle w:val="Normal"/>
              <w:widowControl w:val="false"/>
              <w:numPr>
                <w:ilvl w:val="0"/>
                <w:numId w:val="3"/>
              </w:numPr>
              <w:autoSpaceDE w:val="false"/>
              <w:spacing w:lineRule="auto" w:line="276" w:before="0" w:after="200"/>
              <w:ind w:left="313" w:hanging="219"/>
              <w:contextualSpacing/>
              <w:jc w:val="both"/>
              <w:rPr>
                <w:rFonts w:ascii="Calibri" w:hAnsi="Calibri" w:cs="Arial"/>
                <w:i/>
                <w:i/>
                <w:sz w:val="20"/>
                <w:szCs w:val="20"/>
                <w:lang w:val="en-GB"/>
              </w:rPr>
            </w:pPr>
            <w:r>
              <w:rPr>
                <w:rFonts w:cs="Arial" w:ascii="Calibri" w:hAnsi="Calibri"/>
                <w:i/>
                <w:sz w:val="20"/>
                <w:szCs w:val="20"/>
                <w:lang w:val="en-GB"/>
              </w:rPr>
              <w:t xml:space="preserve">Guidelines for writing Learning Outcomes </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jc w:val="both"/>
              <w:rPr>
                <w:rFonts w:ascii="Calibri" w:hAnsi="Calibri" w:eastAsia="Calibri" w:cs="Calibri"/>
                <w:b/>
                <w:b/>
                <w:i/>
                <w:i/>
                <w:sz w:val="20"/>
                <w:szCs w:val="20"/>
                <w:lang w:val="en-GB"/>
              </w:rPr>
            </w:pPr>
            <w:r>
              <w:rPr>
                <w:rFonts w:eastAsia="Calibri" w:cs="Calibri" w:ascii="Calibri" w:hAnsi="Calibri"/>
                <w:b/>
                <w:i/>
                <w:sz w:val="20"/>
                <w:szCs w:val="20"/>
                <w:lang w:val="en-GB"/>
              </w:rPr>
            </w:r>
          </w:p>
          <w:p>
            <w:pPr>
              <w:pStyle w:val="Normal"/>
              <w:widowControl w:val="false"/>
              <w:jc w:val="both"/>
              <w:rPr>
                <w:rFonts w:ascii="Calibri" w:hAnsi="Calibri" w:cs="Calibri"/>
                <w:sz w:val="20"/>
                <w:szCs w:val="20"/>
                <w:lang w:eastAsia="el-GR"/>
              </w:rPr>
            </w:pPr>
            <w:r>
              <w:rPr>
                <w:rFonts w:eastAsia="Calibri" w:cs="Calibri" w:ascii="Calibri" w:hAnsi="Calibri"/>
                <w:sz w:val="20"/>
                <w:szCs w:val="20"/>
                <w:lang w:eastAsia="el-GR"/>
              </w:rPr>
              <w:t>With the successful completion of the course students should be able</w:t>
            </w:r>
            <w:r>
              <w:rPr>
                <w:rFonts w:cs="Calibri" w:ascii="Calibri" w:hAnsi="Calibri"/>
                <w:sz w:val="20"/>
                <w:szCs w:val="20"/>
                <w:lang w:eastAsia="el-GR"/>
              </w:rPr>
              <w:t xml:space="preserve"> to</w:t>
            </w:r>
            <w:r>
              <w:rPr>
                <w:rFonts w:eastAsia="Calibri" w:cs="Calibri" w:ascii="Calibri" w:hAnsi="Calibri"/>
                <w:sz w:val="20"/>
                <w:szCs w:val="20"/>
                <w:lang w:eastAsia="el-GR"/>
              </w:rPr>
              <w:t>:</w:t>
            </w:r>
          </w:p>
          <w:p>
            <w:pPr>
              <w:pStyle w:val="Normal"/>
              <w:widowControl w:val="false"/>
              <w:jc w:val="both"/>
              <w:rPr>
                <w:rFonts w:ascii="Calibri" w:hAnsi="Calibri" w:cs="Calibri"/>
                <w:sz w:val="20"/>
                <w:szCs w:val="20"/>
                <w:lang w:eastAsia="el-GR"/>
              </w:rPr>
            </w:pPr>
            <w:r>
              <w:rPr>
                <w:rFonts w:cs="Calibri" w:ascii="Calibri" w:hAnsi="Calibri"/>
                <w:sz w:val="20"/>
                <w:szCs w:val="20"/>
                <w:lang w:eastAsia="el-GR"/>
              </w:rPr>
              <w:t>–</w:t>
            </w:r>
            <w:r>
              <w:rPr>
                <w:rFonts w:cs="Calibri" w:ascii="Calibri" w:hAnsi="Calibri"/>
                <w:sz w:val="20"/>
                <w:szCs w:val="20"/>
                <w:lang w:eastAsia="el-GR"/>
              </w:rPr>
              <w:t>understand the structures and the process of  the most important factors which influence the political economy of the Southern European countries</w:t>
            </w:r>
          </w:p>
          <w:p>
            <w:pPr>
              <w:pStyle w:val="Normal"/>
              <w:widowControl w:val="false"/>
              <w:jc w:val="both"/>
              <w:rPr>
                <w:rFonts w:ascii="Calibri" w:hAnsi="Calibri" w:cs="Calibri"/>
                <w:sz w:val="20"/>
                <w:szCs w:val="20"/>
                <w:lang w:eastAsia="el-GR"/>
              </w:rPr>
            </w:pPr>
            <w:r>
              <w:rPr>
                <w:rFonts w:cs="Calibri" w:ascii="Calibri" w:hAnsi="Calibri"/>
                <w:sz w:val="20"/>
                <w:szCs w:val="20"/>
                <w:lang w:eastAsia="el-GR"/>
              </w:rPr>
              <w:t>-classify the regional peculiarities of the Southern European countries</w:t>
            </w:r>
          </w:p>
          <w:p>
            <w:pPr>
              <w:pStyle w:val="Normal"/>
              <w:widowControl w:val="false"/>
              <w:jc w:val="both"/>
              <w:rPr>
                <w:rFonts w:ascii="Calibri" w:hAnsi="Calibri" w:cs="Calibri"/>
                <w:sz w:val="20"/>
                <w:szCs w:val="20"/>
                <w:lang w:eastAsia="el-GR"/>
              </w:rPr>
            </w:pPr>
            <w:r>
              <w:rPr>
                <w:rFonts w:cs="Calibri" w:ascii="Calibri" w:hAnsi="Calibri"/>
                <w:sz w:val="20"/>
                <w:szCs w:val="20"/>
                <w:lang w:eastAsia="el-GR"/>
              </w:rPr>
              <w:t xml:space="preserve">-understand the behavior of Southern Europe  in international politics </w:t>
            </w:r>
          </w:p>
          <w:p>
            <w:pPr>
              <w:pStyle w:val="Normal"/>
              <w:widowControl w:val="false"/>
              <w:jc w:val="both"/>
              <w:rPr/>
            </w:pPr>
            <w:r>
              <w:rPr>
                <w:rFonts w:cs="Calibri" w:ascii="Calibri" w:hAnsi="Calibri"/>
                <w:sz w:val="20"/>
                <w:szCs w:val="20"/>
                <w:lang w:eastAsia="el-GR"/>
              </w:rPr>
              <w:t>-aquire knowledge on the impact of the European integration process in the field of modernization of Southern Europe</w:t>
            </w:r>
          </w:p>
          <w:p>
            <w:pPr>
              <w:pStyle w:val="Normal"/>
              <w:widowControl w:val="false"/>
              <w:jc w:val="both"/>
              <w:rPr/>
            </w:pPr>
            <w:r>
              <w:rPr>
                <w:rFonts w:cs="Calibri" w:ascii="Calibri" w:hAnsi="Calibri"/>
                <w:sz w:val="20"/>
                <w:szCs w:val="20"/>
                <w:lang w:eastAsia="el-GR"/>
              </w:rPr>
              <w:t>-analyze and interpret the contemporary and economic and political issues of Southern Europe, like the migration problem, the question of economic development and the europeanisation process.</w:t>
            </w:r>
          </w:p>
          <w:p>
            <w:pPr>
              <w:pStyle w:val="Normal"/>
              <w:widowControl w:val="false"/>
              <w:jc w:val="both"/>
              <w:rPr>
                <w:rFonts w:ascii="Calibri" w:hAnsi="Calibri" w:cs="Calibri"/>
                <w:sz w:val="20"/>
                <w:szCs w:val="20"/>
                <w:lang w:eastAsia="el-GR"/>
              </w:rPr>
            </w:pPr>
            <w:r>
              <w:rPr>
                <w:rFonts w:cs="Calibri" w:ascii="Calibri" w:hAnsi="Calibri"/>
                <w:sz w:val="20"/>
                <w:szCs w:val="20"/>
                <w:lang w:eastAsia="el-GR"/>
              </w:rPr>
            </w:r>
          </w:p>
          <w:p>
            <w:pPr>
              <w:pStyle w:val="Normal"/>
              <w:widowControl w:val="false"/>
              <w:autoSpaceDE w:val="false"/>
              <w:jc w:val="both"/>
              <w:rPr>
                <w:rFonts w:ascii="Calibri" w:hAnsi="Calibri" w:eastAsia="Calibri" w:cs="Calibri"/>
                <w:b/>
                <w:b/>
                <w:sz w:val="20"/>
                <w:szCs w:val="20"/>
                <w:lang w:eastAsia="el-GR"/>
              </w:rPr>
            </w:pPr>
            <w:r>
              <w:rPr>
                <w:rFonts w:eastAsia="Calibri" w:cs="Calibri" w:ascii="Calibri" w:hAnsi="Calibri"/>
                <w:b/>
                <w:sz w:val="20"/>
                <w:szCs w:val="20"/>
                <w:lang w:eastAsia="el-GR"/>
              </w:rPr>
            </w:r>
          </w:p>
          <w:p>
            <w:pPr>
              <w:pStyle w:val="Normal"/>
              <w:widowControl w:val="false"/>
              <w:autoSpaceDE w:val="false"/>
              <w:jc w:val="both"/>
              <w:rPr>
                <w:rFonts w:ascii="Calibri" w:hAnsi="Calibri" w:eastAsia="Calibri" w:cs="Calibri"/>
                <w:b/>
                <w:b/>
                <w:sz w:val="20"/>
                <w:szCs w:val="20"/>
              </w:rPr>
            </w:pPr>
            <w:r>
              <w:rPr>
                <w:rFonts w:eastAsia="Calibri" w:cs="Calibri" w:ascii="Calibri" w:hAnsi="Calibri"/>
                <w:b/>
                <w:sz w:val="20"/>
                <w:szCs w:val="20"/>
              </w:rPr>
            </w:r>
          </w:p>
          <w:p>
            <w:pPr>
              <w:pStyle w:val="Normal"/>
              <w:widowControl w:val="false"/>
              <w:autoSpaceDE w:val="false"/>
              <w:jc w:val="both"/>
              <w:rPr>
                <w:rFonts w:ascii="Calibri" w:hAnsi="Calibri" w:eastAsia="Calibri" w:cs="Calibri"/>
                <w:b/>
                <w:b/>
                <w:sz w:val="20"/>
                <w:szCs w:val="20"/>
              </w:rPr>
            </w:pPr>
            <w:r>
              <w:rPr>
                <w:rFonts w:eastAsia="Calibri" w:cs="Calibri" w:ascii="Calibri" w:hAnsi="Calibri"/>
                <w:b/>
                <w:sz w:val="20"/>
                <w:szCs w:val="20"/>
              </w:rPr>
            </w:r>
          </w:p>
          <w:p>
            <w:pPr>
              <w:pStyle w:val="Normal"/>
              <w:widowControl w:val="false"/>
              <w:autoSpaceDE w:val="false"/>
              <w:jc w:val="both"/>
              <w:rPr>
                <w:rFonts w:ascii="Calibri" w:hAnsi="Calibri" w:eastAsia="Calibri" w:cs="Calibri"/>
                <w:b/>
                <w:b/>
                <w:sz w:val="20"/>
                <w:szCs w:val="20"/>
              </w:rPr>
            </w:pPr>
            <w:r>
              <w:rPr>
                <w:rFonts w:eastAsia="Calibri" w:cs="Calibri" w:ascii="Calibri" w:hAnsi="Calibri"/>
                <w:b/>
                <w:sz w:val="20"/>
                <w:szCs w:val="20"/>
              </w:rPr>
            </w:r>
          </w:p>
          <w:p>
            <w:pPr>
              <w:pStyle w:val="Normal"/>
              <w:widowControl w:val="false"/>
              <w:autoSpaceDE w:val="false"/>
              <w:jc w:val="both"/>
              <w:rPr>
                <w:rFonts w:ascii="Calibri" w:hAnsi="Calibri" w:eastAsia="Calibri" w:cs="Calibri"/>
                <w:b/>
                <w:b/>
                <w:sz w:val="20"/>
                <w:szCs w:val="20"/>
              </w:rPr>
            </w:pPr>
            <w:r>
              <w:rPr>
                <w:rFonts w:eastAsia="Calibri" w:cs="Calibri" w:ascii="Calibri" w:hAnsi="Calibri"/>
                <w:b/>
                <w:sz w:val="20"/>
                <w:szCs w:val="20"/>
              </w:rPr>
            </w:r>
          </w:p>
          <w:p>
            <w:pPr>
              <w:pStyle w:val="Normal"/>
              <w:widowControl w:val="false"/>
              <w:autoSpaceDE w:val="false"/>
              <w:jc w:val="both"/>
              <w:rPr>
                <w:rFonts w:ascii="Calibri" w:hAnsi="Calibri" w:eastAsia="Calibri" w:cs="Calibri"/>
                <w:b/>
                <w:b/>
                <w:sz w:val="20"/>
                <w:szCs w:val="20"/>
              </w:rPr>
            </w:pPr>
            <w:r>
              <w:rPr>
                <w:rFonts w:eastAsia="Calibri" w:cs="Calibri" w:ascii="Calibri" w:hAnsi="Calibri"/>
                <w:b/>
                <w:sz w:val="20"/>
                <w:szCs w:val="20"/>
              </w:rPr>
            </w:r>
          </w:p>
          <w:p>
            <w:pPr>
              <w:pStyle w:val="Normal"/>
              <w:widowControl w:val="false"/>
              <w:autoSpaceDE w:val="false"/>
              <w:spacing w:before="0" w:after="60"/>
              <w:jc w:val="both"/>
              <w:rPr>
                <w:rFonts w:ascii="Calibri" w:hAnsi="Calibri" w:eastAsia="Calibri" w:cs="Arial"/>
                <w:b/>
                <w:b/>
                <w:i/>
                <w:i/>
                <w:sz w:val="20"/>
                <w:szCs w:val="20"/>
              </w:rPr>
            </w:pPr>
            <w:r>
              <w:rPr>
                <w:rFonts w:eastAsia="Calibri" w:cs="Arial" w:ascii="Calibri" w:hAnsi="Calibri"/>
                <w:b/>
                <w:i/>
                <w:sz w:val="20"/>
                <w:szCs w:val="20"/>
              </w:rPr>
            </w:r>
          </w:p>
          <w:p>
            <w:pPr>
              <w:pStyle w:val="Normal"/>
              <w:widowControl w:val="false"/>
              <w:autoSpaceDE w:val="false"/>
              <w:spacing w:before="0" w:after="60"/>
              <w:jc w:val="both"/>
              <w:rPr>
                <w:rFonts w:ascii="Calibri" w:hAnsi="Calibri" w:cs="Arial"/>
                <w:i/>
                <w:i/>
                <w:sz w:val="20"/>
                <w:szCs w:val="20"/>
              </w:rPr>
            </w:pPr>
            <w:r>
              <w:rPr>
                <w:rFonts w:cs="Arial" w:ascii="Calibri" w:hAnsi="Calibri"/>
                <w:i/>
                <w:sz w:val="20"/>
                <w:szCs w:val="20"/>
              </w:rPr>
            </w:r>
          </w:p>
          <w:p>
            <w:pPr>
              <w:pStyle w:val="Normal"/>
              <w:widowControl w:val="false"/>
              <w:autoSpaceDE w:val="false"/>
              <w:spacing w:before="0" w:after="60"/>
              <w:jc w:val="both"/>
              <w:rPr>
                <w:rFonts w:ascii="Calibri" w:hAnsi="Calibri" w:cs="Arial"/>
                <w:i/>
                <w:i/>
                <w:sz w:val="20"/>
                <w:szCs w:val="20"/>
              </w:rPr>
            </w:pPr>
            <w:r>
              <w:rPr>
                <w:rFonts w:cs="Arial" w:ascii="Calibri" w:hAnsi="Calibri"/>
                <w:i/>
                <w:sz w:val="20"/>
                <w:szCs w:val="20"/>
              </w:rPr>
            </w:r>
          </w:p>
          <w:p>
            <w:pPr>
              <w:pStyle w:val="Normal"/>
              <w:widowControl w:val="false"/>
              <w:autoSpaceDE w:val="false"/>
              <w:spacing w:before="0" w:after="60"/>
              <w:jc w:val="both"/>
              <w:rPr>
                <w:rFonts w:ascii="Calibri" w:hAnsi="Calibri" w:cs="Arial"/>
                <w:i/>
                <w:i/>
                <w:sz w:val="20"/>
                <w:szCs w:val="20"/>
                <w:lang w:val="en-GB"/>
              </w:rPr>
            </w:pPr>
            <w:r>
              <w:rPr>
                <w:rFonts w:cs="Arial" w:ascii="Calibri" w:hAnsi="Calibri"/>
                <w:i/>
                <w:sz w:val="20"/>
                <w:szCs w:val="20"/>
                <w:lang w:val="en-GB"/>
              </w:rPr>
            </w:r>
          </w:p>
        </w:tc>
      </w:tr>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 xml:space="preserve">General Competences </w:t>
            </w:r>
          </w:p>
        </w:tc>
      </w:tr>
      <w:tr>
        <w:trPr/>
        <w:tc>
          <w:tcPr>
            <w:tcW w:w="8482" w:type="dxa"/>
            <w:gridSpan w:val="2"/>
            <w:tcBorders>
              <w:left w:val="single" w:sz="4" w:space="0" w:color="000000"/>
              <w:right w:val="single" w:sz="4" w:space="0" w:color="000000"/>
              <w:insideV w:val="single" w:sz="4" w:space="0" w:color="000000"/>
            </w:tcBorders>
            <w:shd w:fill="D0CECE" w:val="clear"/>
            <w:tcMar>
              <w:left w:w="103" w:type="dxa"/>
            </w:tcMar>
          </w:tcPr>
          <w:p>
            <w:pPr>
              <w:pStyle w:val="Normal"/>
              <w:widowControl w:val="false"/>
              <w:autoSpaceDE w:val="false"/>
              <w:spacing w:before="0" w:after="60"/>
              <w:jc w:val="both"/>
              <w:rPr>
                <w:rFonts w:ascii="Calibri" w:hAnsi="Calibri" w:cs="Arial"/>
                <w:i/>
                <w:i/>
                <w:sz w:val="20"/>
                <w:szCs w:val="20"/>
                <w:lang w:val="en-GB"/>
              </w:rPr>
            </w:pPr>
            <w:r>
              <w:rPr>
                <w:rFonts w:cs="Arial" w:ascii="Calibri" w:hAnsi="Calibri"/>
                <w:i/>
                <w:sz w:val="20"/>
                <w:szCs w:val="20"/>
                <w:lang w:val="en-GB"/>
              </w:rPr>
              <w:t>Taking into consideration the general competences that the degree-holder must acquire (as these appear in the Diploma Supplement and appear below), at which of the following does the course aim?</w:t>
            </w:r>
          </w:p>
        </w:tc>
      </w:tr>
      <w:tr>
        <w:trPr/>
        <w:tc>
          <w:tcPr>
            <w:tcW w:w="3964" w:type="dxa"/>
            <w:tcBorders>
              <w:left w:val="single" w:sz="4" w:space="0" w:color="000000"/>
              <w:bottom w:val="single" w:sz="4" w:space="0" w:color="000000"/>
              <w:insideH w:val="single" w:sz="4" w:space="0" w:color="000000"/>
            </w:tcBorders>
            <w:shd w:fill="D0CECE" w:val="clear"/>
            <w:tcMar>
              <w:left w:w="103" w:type="dxa"/>
            </w:tcMar>
          </w:tcPr>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Search for, analysis and synthesis of data and information, with the use of the necessary technology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Adapting to new situations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Decision-making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Working independently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Team work</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Working in an international environment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Working in an interdisciplinary environment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Production of new research ideas </w:t>
            </w:r>
          </w:p>
        </w:tc>
        <w:tc>
          <w:tcPr>
            <w:tcW w:w="4518" w:type="dxa"/>
            <w:tcBorders>
              <w:bottom w:val="single" w:sz="4" w:space="0" w:color="000000"/>
              <w:right w:val="single" w:sz="4" w:space="0" w:color="000000"/>
              <w:insideH w:val="single" w:sz="4" w:space="0" w:color="000000"/>
              <w:insideV w:val="single" w:sz="4" w:space="0" w:color="000000"/>
            </w:tcBorders>
            <w:shd w:fill="D0CECE" w:val="clear"/>
          </w:tcPr>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Project planning and management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Respect for difference and multiculturalism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Respect for the natural environment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Showing social, professional and ethical responsibility and sensitivity to gender issues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Criticism and self-criticism </w:t>
            </w:r>
          </w:p>
          <w:p>
            <w:pPr>
              <w:pStyle w:val="Normal"/>
              <w:jc w:val="both"/>
              <w:rPr>
                <w:rFonts w:ascii="Calibri" w:hAnsi="Calibri" w:cs="Arial"/>
                <w:i/>
                <w:i/>
                <w:sz w:val="20"/>
                <w:szCs w:val="20"/>
                <w:lang w:val="en-GB"/>
              </w:rPr>
            </w:pPr>
            <w:r>
              <w:rPr>
                <w:rFonts w:cs="Arial" w:ascii="Calibri" w:hAnsi="Calibri"/>
                <w:i/>
                <w:sz w:val="20"/>
                <w:szCs w:val="20"/>
                <w:lang w:val="en-GB"/>
              </w:rPr>
              <w:t>Production of free, creative and inductive thinking</w:t>
            </w:r>
          </w:p>
          <w:p>
            <w:pPr>
              <w:pStyle w:val="Normal"/>
              <w:jc w:val="both"/>
              <w:rPr>
                <w:rFonts w:ascii="Calibri" w:hAnsi="Calibri" w:cs="Arial"/>
                <w:i/>
                <w:i/>
                <w:sz w:val="20"/>
                <w:szCs w:val="20"/>
                <w:lang w:val="en-GB"/>
              </w:rPr>
            </w:pPr>
            <w:r>
              <w:rPr>
                <w:rFonts w:cs="Arial" w:ascii="Calibri" w:hAnsi="Calibri"/>
                <w:i/>
                <w:sz w:val="20"/>
                <w:szCs w:val="20"/>
                <w:lang w:val="en-GB"/>
              </w:rPr>
              <w:t>……</w:t>
            </w:r>
          </w:p>
          <w:p>
            <w:pPr>
              <w:pStyle w:val="Normal"/>
              <w:jc w:val="both"/>
              <w:rPr>
                <w:rFonts w:ascii="Calibri" w:hAnsi="Calibri" w:cs="Arial"/>
                <w:i/>
                <w:i/>
                <w:sz w:val="20"/>
                <w:szCs w:val="20"/>
                <w:lang w:val="en-GB"/>
              </w:rPr>
            </w:pPr>
            <w:r>
              <w:rPr>
                <w:rFonts w:cs="Arial" w:ascii="Calibri" w:hAnsi="Calibri"/>
                <w:i/>
                <w:sz w:val="20"/>
                <w:szCs w:val="20"/>
                <w:lang w:val="en-GB"/>
              </w:rPr>
              <w:t>Others…</w:t>
            </w:r>
          </w:p>
          <w:p>
            <w:pPr>
              <w:pStyle w:val="Normal"/>
              <w:jc w:val="both"/>
              <w:rPr>
                <w:rFonts w:ascii="Calibri" w:hAnsi="Calibri" w:cs="Arial"/>
                <w:b/>
                <w:b/>
                <w:sz w:val="20"/>
                <w:szCs w:val="20"/>
                <w:lang w:val="en-GB"/>
              </w:rPr>
            </w:pPr>
            <w:r>
              <w:rPr>
                <w:rFonts w:cs="Arial" w:ascii="Calibri" w:hAnsi="Calibri"/>
                <w:i/>
                <w:sz w:val="20"/>
                <w:szCs w:val="20"/>
                <w:lang w:val="en-GB"/>
              </w:rPr>
              <w:t>……</w:t>
            </w:r>
            <w:r>
              <w:rPr>
                <w:rFonts w:cs="Arial" w:ascii="Calibri" w:hAnsi="Calibri"/>
                <w:i/>
                <w:sz w:val="20"/>
                <w:szCs w:val="20"/>
                <w:lang w:val="en-GB"/>
              </w:rPr>
              <w:t>.</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b/>
                <w:b/>
                <w:sz w:val="20"/>
                <w:szCs w:val="20"/>
                <w:lang w:val="en-GB"/>
              </w:rPr>
            </w:pPr>
            <w:r>
              <w:rPr>
                <w:rFonts w:cs="Arial" w:ascii="Calibri" w:hAnsi="Calibri"/>
                <w:b/>
                <w:sz w:val="20"/>
                <w:szCs w:val="20"/>
                <w:lang w:val="en-GB"/>
              </w:rPr>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Search for, analysis and synthesis of data and information, with the use of the necessary technology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Adapting to new situations</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Working in an interdisciplinary environment</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Decision-making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Production of new research agenda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Working independently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Criticism and self - criticism </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t xml:space="preserve">Working in an interdisciplinary environment </w:t>
            </w:r>
          </w:p>
          <w:p>
            <w:pPr>
              <w:pStyle w:val="Normal"/>
              <w:jc w:val="both"/>
              <w:rPr>
                <w:rFonts w:ascii="Calibri" w:hAnsi="Calibri" w:cs="Calibri"/>
                <w:i/>
                <w:i/>
                <w:sz w:val="20"/>
                <w:szCs w:val="20"/>
                <w:lang w:val="en-GB"/>
              </w:rPr>
            </w:pPr>
            <w:r>
              <w:rPr>
                <w:rFonts w:cs="Calibri" w:ascii="Calibri" w:hAnsi="Calibri"/>
                <w:i/>
                <w:sz w:val="20"/>
                <w:szCs w:val="20"/>
                <w:lang w:val="en-GB"/>
              </w:rPr>
              <w:t>Production of free, creative and inductive thinking</w:t>
            </w:r>
          </w:p>
          <w:p>
            <w:pPr>
              <w:pStyle w:val="Normal"/>
              <w:widowControl w:val="false"/>
              <w:autoSpaceDE w:val="false"/>
              <w:jc w:val="both"/>
              <w:rPr>
                <w:rFonts w:ascii="Calibri" w:hAnsi="Calibri" w:cs="Arial"/>
                <w:i/>
                <w:i/>
                <w:sz w:val="20"/>
                <w:szCs w:val="20"/>
                <w:lang w:val="en-GB"/>
              </w:rPr>
            </w:pPr>
            <w:r>
              <w:rPr>
                <w:rFonts w:cs="Arial" w:ascii="Calibri" w:hAnsi="Calibri"/>
                <w:i/>
                <w:sz w:val="20"/>
                <w:szCs w:val="20"/>
                <w:lang w:val="en-GB"/>
              </w:rPr>
            </w:r>
          </w:p>
          <w:p>
            <w:pPr>
              <w:pStyle w:val="Normal"/>
              <w:widowControl w:val="false"/>
              <w:autoSpaceDE w:val="false"/>
              <w:jc w:val="both"/>
              <w:rPr>
                <w:rFonts w:ascii="Calibri" w:hAnsi="Calibri" w:eastAsia="Calibri" w:cs="Calibri"/>
                <w:i/>
                <w:i/>
                <w:sz w:val="20"/>
                <w:szCs w:val="20"/>
                <w:lang w:val="en-GB"/>
              </w:rPr>
            </w:pPr>
            <w:r>
              <w:rPr>
                <w:rFonts w:eastAsia="Calibri" w:cs="Calibri" w:ascii="Calibri" w:hAnsi="Calibri"/>
                <w:i/>
                <w:sz w:val="20"/>
                <w:szCs w:val="20"/>
                <w:lang w:val="en-GB"/>
              </w:rPr>
            </w:r>
          </w:p>
          <w:p>
            <w:pPr>
              <w:pStyle w:val="Normal"/>
              <w:widowControl w:val="false"/>
              <w:autoSpaceDE w:val="false"/>
              <w:jc w:val="both"/>
              <w:rPr>
                <w:rFonts w:ascii="Calibri" w:hAnsi="Calibri" w:eastAsia="Calibri" w:cs="Calibri"/>
                <w:sz w:val="20"/>
                <w:szCs w:val="20"/>
                <w:lang w:val="en-GB"/>
              </w:rPr>
            </w:pPr>
            <w:r>
              <w:rPr>
                <w:rFonts w:eastAsia="Calibri" w:cs="Calibri" w:ascii="Calibri" w:hAnsi="Calibri"/>
                <w:sz w:val="20"/>
                <w:szCs w:val="20"/>
                <w:lang w:val="en-GB"/>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jc w:val="both"/>
              <w:rPr>
                <w:rFonts w:ascii="Calibri" w:hAnsi="Calibri" w:eastAsia="Calibri" w:cs="Calibri"/>
                <w:sz w:val="20"/>
                <w:szCs w:val="20"/>
              </w:rPr>
            </w:pPr>
            <w:r>
              <w:rPr>
                <w:rFonts w:eastAsia="Calibri" w:cs="Calibri" w:ascii="Calibri" w:hAnsi="Calibri"/>
                <w:sz w:val="20"/>
                <w:szCs w:val="20"/>
              </w:rPr>
            </w:r>
          </w:p>
          <w:p>
            <w:pPr>
              <w:pStyle w:val="Normal"/>
              <w:widowControl w:val="false"/>
              <w:autoSpaceDE w:val="false"/>
              <w:spacing w:before="0" w:after="60"/>
              <w:jc w:val="both"/>
              <w:rPr>
                <w:rFonts w:ascii="Calibri" w:hAnsi="Calibri" w:eastAsia="Calibri" w:cs="Arial"/>
                <w:i/>
                <w:i/>
                <w:sz w:val="20"/>
                <w:szCs w:val="20"/>
                <w:lang w:val="en-GB"/>
              </w:rPr>
            </w:pPr>
            <w:r>
              <w:rPr>
                <w:rFonts w:eastAsia="Calibri" w:cs="Arial" w:ascii="Calibri" w:hAnsi="Calibri"/>
                <w:i/>
                <w:sz w:val="20"/>
                <w:szCs w:val="20"/>
                <w:lang w:val="en-GB"/>
              </w:rPr>
            </w:r>
          </w:p>
        </w:tc>
      </w:tr>
    </w:tbl>
    <w:p>
      <w:pPr>
        <w:pStyle w:val="Normal"/>
        <w:widowControl w:val="false"/>
        <w:numPr>
          <w:ilvl w:val="0"/>
          <w:numId w:val="2"/>
        </w:numPr>
        <w:autoSpaceDE w:val="false"/>
        <w:spacing w:lineRule="auto" w:line="276" w:before="120" w:after="200"/>
        <w:ind w:left="357" w:hanging="357"/>
        <w:jc w:val="both"/>
        <w:rPr/>
      </w:pPr>
      <w:r>
        <w:rPr/>
        <w:t>SYLLABUS</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eastAsia="Calibri" w:cs="Calibri"/>
                <w:iCs/>
                <w:sz w:val="20"/>
                <w:szCs w:val="20"/>
              </w:rPr>
            </w:pPr>
            <w:r>
              <w:rPr>
                <w:rFonts w:eastAsia="Calibri" w:cs="Calibri" w:ascii="Calibri" w:hAnsi="Calibri"/>
                <w:iCs/>
                <w:sz w:val="20"/>
                <w:szCs w:val="20"/>
              </w:rPr>
            </w:r>
          </w:p>
          <w:p>
            <w:pPr>
              <w:pStyle w:val="Normal"/>
              <w:jc w:val="both"/>
              <w:rPr/>
            </w:pPr>
            <w:r>
              <w:rPr>
                <w:rFonts w:cs="Calibri" w:ascii="Calibri" w:hAnsi="Calibri"/>
                <w:sz w:val="20"/>
                <w:szCs w:val="20"/>
                <w:lang w:eastAsia="el-GR"/>
              </w:rPr>
              <w:t>- Introduction. Southern Europe  as a geopolitical entity</w:t>
            </w:r>
          </w:p>
          <w:p>
            <w:pPr>
              <w:pStyle w:val="Normal"/>
              <w:jc w:val="both"/>
              <w:rPr>
                <w:rFonts w:ascii="Calibri" w:hAnsi="Calibri" w:cs="Calibri"/>
                <w:sz w:val="20"/>
                <w:szCs w:val="20"/>
                <w:lang w:eastAsia="el-GR"/>
              </w:rPr>
            </w:pPr>
            <w:r>
              <w:rPr>
                <w:rFonts w:cs="Calibri" w:ascii="Calibri" w:hAnsi="Calibri"/>
                <w:sz w:val="20"/>
                <w:szCs w:val="20"/>
                <w:lang w:eastAsia="el-GR"/>
              </w:rPr>
              <w:t xml:space="preserve">- The countries of Southern Europe during the cold war </w:t>
            </w:r>
          </w:p>
          <w:p>
            <w:pPr>
              <w:pStyle w:val="Normal"/>
              <w:jc w:val="both"/>
              <w:rPr>
                <w:rFonts w:ascii="Calibri" w:hAnsi="Calibri" w:cs="Calibri"/>
                <w:sz w:val="20"/>
                <w:szCs w:val="20"/>
                <w:lang w:eastAsia="el-GR"/>
              </w:rPr>
            </w:pPr>
            <w:r>
              <w:rPr>
                <w:rFonts w:cs="Calibri" w:ascii="Calibri" w:hAnsi="Calibri"/>
                <w:sz w:val="20"/>
                <w:szCs w:val="20"/>
                <w:lang w:eastAsia="el-GR"/>
              </w:rPr>
              <w:t>- The political system. From dictatorial  and totalitarian regimes in the consolidation of democracy</w:t>
            </w:r>
          </w:p>
          <w:p>
            <w:pPr>
              <w:pStyle w:val="Normal"/>
              <w:jc w:val="both"/>
              <w:rPr>
                <w:rFonts w:ascii="Calibri" w:hAnsi="Calibri" w:cs="Calibri"/>
                <w:sz w:val="20"/>
                <w:szCs w:val="20"/>
                <w:lang w:eastAsia="el-GR"/>
              </w:rPr>
            </w:pPr>
            <w:r>
              <w:rPr>
                <w:rFonts w:cs="Calibri" w:ascii="Calibri" w:hAnsi="Calibri"/>
                <w:sz w:val="20"/>
                <w:szCs w:val="20"/>
                <w:lang w:eastAsia="el-GR"/>
              </w:rPr>
              <w:t>-The europeanisation process of Southern Europe</w:t>
            </w:r>
          </w:p>
          <w:p>
            <w:pPr>
              <w:pStyle w:val="Normal"/>
              <w:jc w:val="both"/>
              <w:rPr>
                <w:rFonts w:ascii="Calibri" w:hAnsi="Calibri" w:cs="Calibri"/>
                <w:sz w:val="20"/>
                <w:szCs w:val="20"/>
                <w:lang w:eastAsia="el-GR"/>
              </w:rPr>
            </w:pPr>
            <w:r>
              <w:rPr>
                <w:rFonts w:cs="Calibri" w:ascii="Calibri" w:hAnsi="Calibri"/>
                <w:sz w:val="20"/>
                <w:szCs w:val="20"/>
                <w:lang w:eastAsia="el-GR"/>
              </w:rPr>
              <w:t>- The economic development of Southern European countries</w:t>
            </w:r>
          </w:p>
          <w:p>
            <w:pPr>
              <w:pStyle w:val="Normal"/>
              <w:jc w:val="both"/>
              <w:rPr>
                <w:rFonts w:ascii="Calibri" w:hAnsi="Calibri" w:cs="Calibri"/>
                <w:sz w:val="20"/>
                <w:szCs w:val="20"/>
                <w:lang w:eastAsia="el-GR"/>
              </w:rPr>
            </w:pPr>
            <w:r>
              <w:rPr>
                <w:rFonts w:cs="Calibri" w:ascii="Calibri" w:hAnsi="Calibri"/>
                <w:sz w:val="20"/>
                <w:szCs w:val="20"/>
                <w:lang w:eastAsia="el-GR"/>
              </w:rPr>
              <w:t>-The foreign  policy of Spain, Italy and Portugal after the end of the dictatorial regimes</w:t>
            </w:r>
          </w:p>
          <w:p>
            <w:pPr>
              <w:pStyle w:val="Normal"/>
              <w:jc w:val="both"/>
              <w:rPr/>
            </w:pPr>
            <w:r>
              <w:rPr>
                <w:rFonts w:cs="Calibri" w:ascii="Calibri" w:hAnsi="Calibri"/>
                <w:sz w:val="20"/>
                <w:szCs w:val="20"/>
                <w:lang w:eastAsia="el-GR"/>
              </w:rPr>
              <w:t>- The foreign policy  of the two small island states: Malta and Cyprus</w:t>
            </w:r>
          </w:p>
          <w:p>
            <w:pPr>
              <w:pStyle w:val="Normal"/>
              <w:jc w:val="both"/>
              <w:rPr>
                <w:rFonts w:ascii="Calibri" w:hAnsi="Calibri" w:cs="Calibri"/>
                <w:sz w:val="20"/>
                <w:szCs w:val="20"/>
                <w:lang w:val="el-GR" w:eastAsia="el-GR"/>
              </w:rPr>
            </w:pPr>
            <w:r>
              <w:rPr>
                <w:rFonts w:cs="Calibri" w:ascii="Calibri" w:hAnsi="Calibri"/>
                <w:sz w:val="20"/>
                <w:szCs w:val="20"/>
                <w:lang w:eastAsia="el-GR"/>
              </w:rPr>
              <w:t>- The foreign policy of Greece and Turkey</w:t>
            </w:r>
          </w:p>
          <w:p>
            <w:pPr>
              <w:pStyle w:val="Normal"/>
              <w:jc w:val="both"/>
              <w:rPr/>
            </w:pPr>
            <w:r>
              <w:rPr>
                <w:rFonts w:cs="Calibri" w:ascii="Calibri" w:hAnsi="Calibri"/>
                <w:sz w:val="20"/>
                <w:szCs w:val="20"/>
                <w:lang w:val="el-GR" w:eastAsia="el-GR"/>
              </w:rPr>
              <w:t>-Τ</w:t>
            </w:r>
            <w:r>
              <w:rPr>
                <w:rFonts w:cs="Calibri" w:ascii="Calibri" w:hAnsi="Calibri"/>
                <w:sz w:val="20"/>
                <w:szCs w:val="20"/>
                <w:lang w:eastAsia="el-GR"/>
              </w:rPr>
              <w:t>he migration and refugees problem</w:t>
            </w:r>
          </w:p>
          <w:p>
            <w:pPr>
              <w:pStyle w:val="Normal"/>
              <w:jc w:val="both"/>
              <w:rPr>
                <w:rFonts w:ascii="Calibri" w:hAnsi="Calibri" w:cs="Calibri"/>
                <w:sz w:val="20"/>
                <w:szCs w:val="20"/>
                <w:lang w:eastAsia="el-GR"/>
              </w:rPr>
            </w:pPr>
            <w:r>
              <w:rPr>
                <w:rFonts w:cs="Calibri" w:ascii="Calibri" w:hAnsi="Calibri"/>
                <w:sz w:val="20"/>
                <w:szCs w:val="20"/>
                <w:lang w:eastAsia="el-GR"/>
              </w:rPr>
            </w:r>
          </w:p>
          <w:p>
            <w:pPr>
              <w:pStyle w:val="Normal"/>
              <w:jc w:val="both"/>
              <w:rPr>
                <w:rFonts w:ascii="Calibri" w:hAnsi="Calibri" w:cs="Arial"/>
                <w:sz w:val="20"/>
                <w:szCs w:val="20"/>
                <w:lang w:eastAsia="el-GR"/>
              </w:rPr>
            </w:pPr>
            <w:r>
              <w:rPr>
                <w:rFonts w:cs="Arial" w:ascii="Calibri" w:hAnsi="Calibri"/>
                <w:sz w:val="20"/>
                <w:szCs w:val="20"/>
                <w:lang w:eastAsia="el-GR"/>
              </w:rPr>
            </w:r>
          </w:p>
        </w:tc>
      </w:tr>
    </w:tbl>
    <w:p>
      <w:pPr>
        <w:pStyle w:val="Normal"/>
        <w:widowControl w:val="false"/>
        <w:numPr>
          <w:ilvl w:val="0"/>
          <w:numId w:val="2"/>
        </w:numPr>
        <w:autoSpaceDE w:val="false"/>
        <w:spacing w:lineRule="auto" w:line="276" w:before="120" w:after="200"/>
        <w:ind w:left="357" w:hanging="357"/>
        <w:jc w:val="both"/>
        <w:rPr>
          <w:rFonts w:ascii="Calibri" w:hAnsi="Calibri" w:cs="Arial"/>
          <w:b/>
          <w:b/>
          <w:sz w:val="20"/>
          <w:szCs w:val="20"/>
          <w:lang w:val="en-GB"/>
        </w:rPr>
      </w:pPr>
      <w:r>
        <w:rPr>
          <w:rFonts w:cs="Arial" w:ascii="Calibri" w:hAnsi="Calibri"/>
          <w:b/>
          <w:sz w:val="20"/>
          <w:szCs w:val="20"/>
          <w:lang w:val="en-GB"/>
        </w:rPr>
        <w:t>TEACHING and LEARNING METHODS - EVALUATION</w:t>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06"/>
        <w:gridCol w:w="5176"/>
      </w:tblGrid>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DELIVERY</w:t>
              <w:br/>
            </w:r>
            <w:r>
              <w:rPr>
                <w:rFonts w:cs="Arial" w:ascii="Calibri" w:hAnsi="Calibri"/>
                <w:i/>
                <w:sz w:val="20"/>
                <w:szCs w:val="20"/>
                <w:lang w:val="en-GB"/>
              </w:rPr>
              <w:t>Face-to-face, Distance learning, etc.</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jc w:val="both"/>
              <w:rPr>
                <w:rFonts w:ascii="Calibri" w:hAnsi="Calibri" w:eastAsia="Calibri" w:cs="Calibri"/>
                <w:iCs/>
                <w:sz w:val="20"/>
                <w:szCs w:val="20"/>
                <w:lang w:val="en-GB"/>
              </w:rPr>
            </w:pPr>
            <w:r>
              <w:rPr>
                <w:rFonts w:eastAsia="Calibri" w:cs="Calibri" w:ascii="Calibri" w:hAnsi="Calibri"/>
                <w:iCs/>
                <w:sz w:val="20"/>
                <w:szCs w:val="20"/>
                <w:lang w:val="en-GB"/>
              </w:rPr>
              <w:t>Face-to-face</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pPr>
            <w:r>
              <w:rPr>
                <w:rFonts w:cs="Arial" w:ascii="Calibri" w:hAnsi="Calibri"/>
                <w:b/>
                <w:sz w:val="20"/>
                <w:szCs w:val="20"/>
                <w:lang w:val="en-GB"/>
              </w:rPr>
              <w:t xml:space="preserve">USE OF INFORMATION AND COMMUNICATIONS TECHNOLOGY </w:t>
              <w:br/>
            </w:r>
            <w:r>
              <w:rPr>
                <w:rFonts w:cs="Arial" w:ascii="Calibri" w:hAnsi="Calibri"/>
                <w:i/>
                <w:sz w:val="20"/>
                <w:szCs w:val="20"/>
                <w:lang w:val="en-GB"/>
              </w:rPr>
              <w:t>Use of ICT in teaching, laboratory education, communication with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Arial"/>
                <w:b/>
                <w:b/>
                <w:sz w:val="20"/>
                <w:szCs w:val="20"/>
                <w:lang w:val="en-GB"/>
              </w:rPr>
            </w:pPr>
            <w:r>
              <w:rPr>
                <w:rFonts w:cs="Arial" w:ascii="Calibri" w:hAnsi="Calibri"/>
                <w:i/>
                <w:sz w:val="20"/>
                <w:szCs w:val="20"/>
                <w:lang w:val="en-GB"/>
              </w:rPr>
              <w:t>Use of ICT in teaching</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TEACHING METHODS</w:t>
            </w:r>
          </w:p>
          <w:p>
            <w:pPr>
              <w:pStyle w:val="Normal"/>
              <w:jc w:val="both"/>
              <w:rPr>
                <w:rFonts w:ascii="Calibri" w:hAnsi="Calibri" w:cs="Arial"/>
                <w:i/>
                <w:i/>
                <w:sz w:val="20"/>
                <w:szCs w:val="20"/>
                <w:lang w:val="en-GB"/>
              </w:rPr>
            </w:pPr>
            <w:r>
              <w:rPr>
                <w:rFonts w:cs="Arial" w:ascii="Calibri" w:hAnsi="Calibri"/>
                <w:i/>
                <w:sz w:val="20"/>
                <w:szCs w:val="20"/>
                <w:lang w:val="en-GB"/>
              </w:rPr>
              <w:t>The manner and methods of teaching are described in detail.</w:t>
            </w:r>
          </w:p>
          <w:p>
            <w:pPr>
              <w:pStyle w:val="Normal"/>
              <w:jc w:val="both"/>
              <w:rPr>
                <w:rFonts w:ascii="Calibri" w:hAnsi="Calibri" w:cs="Arial"/>
                <w:i/>
                <w:i/>
                <w:sz w:val="20"/>
                <w:szCs w:val="20"/>
                <w:lang w:val="en-GB"/>
              </w:rPr>
            </w:pPr>
            <w:r>
              <w:rPr>
                <w:rFonts w:cs="Arial" w:ascii="Calibri" w:hAnsi="Calibri"/>
                <w:i/>
                <w:sz w:val="20"/>
                <w:szCs w:val="20"/>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pPr>
            <w:r>
              <w:rPr/>
              <w:t>The student's study hours for each learning activity are given as well as the hours of non-directed study according to the principles of the ECTS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tbl>
            <w:tblPr>
              <w:tblW w:w="49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7"/>
              <w:gridCol w:w="2478"/>
            </w:tblGrid>
            <w:tr>
              <w:trPr/>
              <w:tc>
                <w:tcPr>
                  <w:tcW w:w="2467"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both"/>
                    <w:rPr>
                      <w:rFonts w:ascii="Calibri" w:hAnsi="Calibri" w:cs="Arial"/>
                      <w:b/>
                      <w:b/>
                      <w:i/>
                      <w:i/>
                      <w:sz w:val="20"/>
                      <w:szCs w:val="20"/>
                      <w:lang w:val="en-GB"/>
                    </w:rPr>
                  </w:pPr>
                  <w:r>
                    <w:rPr>
                      <w:rFonts w:cs="Arial" w:ascii="Calibri" w:hAnsi="Calibri"/>
                      <w:b/>
                      <w:i/>
                      <w:sz w:val="20"/>
                      <w:szCs w:val="20"/>
                      <w:lang w:val="en-GB"/>
                    </w:rPr>
                    <w:t>Activity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both"/>
                    <w:rPr>
                      <w:rFonts w:ascii="Calibri" w:hAnsi="Calibri" w:cs="Arial"/>
                      <w:b/>
                      <w:b/>
                      <w:i/>
                      <w:i/>
                      <w:sz w:val="20"/>
                      <w:szCs w:val="20"/>
                      <w:lang w:val="en-GB"/>
                    </w:rPr>
                  </w:pPr>
                  <w:r>
                    <w:rPr>
                      <w:rFonts w:cs="Arial" w:ascii="Calibri" w:hAnsi="Calibri"/>
                      <w:b/>
                      <w:i/>
                      <w:sz w:val="20"/>
                      <w:szCs w:val="20"/>
                      <w:lang w:val="en-GB"/>
                    </w:rPr>
                    <w:t>Semester workload</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Calibri" w:hAnsi="Calibri" w:cs="Calibri"/>
                      <w:sz w:val="20"/>
                      <w:szCs w:val="20"/>
                      <w:lang w:eastAsia="el-GR"/>
                    </w:rPr>
                  </w:pPr>
                  <w:r>
                    <w:rPr>
                      <w:rFonts w:cs="Calibri" w:ascii="Calibri" w:hAnsi="Calibri"/>
                      <w:sz w:val="20"/>
                      <w:szCs w:val="20"/>
                      <w:lang w:eastAsia="el-GR"/>
                    </w:rPr>
                    <w:t>Lectures</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both"/>
                    <w:rPr>
                      <w:rFonts w:ascii="Calibri" w:hAnsi="Calibri" w:cs="Calibri"/>
                      <w:sz w:val="20"/>
                      <w:szCs w:val="20"/>
                      <w:lang w:eastAsia="el-GR"/>
                    </w:rPr>
                  </w:pPr>
                  <w:r>
                    <w:rPr>
                      <w:rFonts w:cs="Calibri" w:ascii="Calibri" w:hAnsi="Calibri"/>
                      <w:sz w:val="20"/>
                      <w:szCs w:val="20"/>
                      <w:lang w:eastAsia="el-GR"/>
                    </w:rPr>
                    <w:t>39 hours (1.56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Calibri" w:hAnsi="Calibri" w:cs="Calibri"/>
                      <w:sz w:val="20"/>
                      <w:szCs w:val="20"/>
                      <w:lang w:eastAsia="el-GR"/>
                    </w:rPr>
                  </w:pPr>
                  <w:r>
                    <w:rPr>
                      <w:rFonts w:cs="Calibri" w:ascii="Calibri" w:hAnsi="Calibri"/>
                      <w:sz w:val="20"/>
                      <w:szCs w:val="20"/>
                      <w:lang w:eastAsia="el-GR"/>
                    </w:rPr>
                    <w:t>Personal study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both"/>
                    <w:rPr>
                      <w:rFonts w:ascii="Calibri" w:hAnsi="Calibri" w:cs="Calibri"/>
                      <w:sz w:val="20"/>
                      <w:szCs w:val="20"/>
                      <w:lang w:eastAsia="el-GR"/>
                    </w:rPr>
                  </w:pPr>
                  <w:r>
                    <w:rPr>
                      <w:rFonts w:cs="Calibri" w:ascii="Calibri" w:hAnsi="Calibri"/>
                      <w:sz w:val="20"/>
                      <w:szCs w:val="20"/>
                      <w:lang w:eastAsia="el-GR"/>
                    </w:rPr>
                    <w:t>83 hours (3.32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Calibri" w:hAnsi="Calibri" w:cs="Calibri"/>
                      <w:sz w:val="20"/>
                      <w:szCs w:val="20"/>
                      <w:lang w:eastAsia="el-GR"/>
                    </w:rPr>
                  </w:pPr>
                  <w:r>
                    <w:rPr>
                      <w:rFonts w:cs="Calibri" w:ascii="Calibri" w:hAnsi="Calibri"/>
                      <w:sz w:val="20"/>
                      <w:szCs w:val="20"/>
                      <w:lang w:eastAsia="el-GR"/>
                    </w:rPr>
                    <w:t>End of semester exam</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both"/>
                    <w:rPr>
                      <w:rFonts w:ascii="Calibri" w:hAnsi="Calibri" w:cs="Calibri"/>
                      <w:sz w:val="20"/>
                      <w:szCs w:val="20"/>
                      <w:lang w:eastAsia="el-GR"/>
                    </w:rPr>
                  </w:pPr>
                  <w:r>
                    <w:rPr>
                      <w:rFonts w:cs="Calibri" w:ascii="Calibri" w:hAnsi="Calibri"/>
                      <w:sz w:val="20"/>
                      <w:szCs w:val="20"/>
                      <w:lang w:eastAsia="el-GR"/>
                    </w:rPr>
                    <w:t>3 hours (0.12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Calibri"/>
                      <w:iCs/>
                      <w:sz w:val="20"/>
                      <w:szCs w:val="20"/>
                      <w:lang w:val="en-GB" w:eastAsia="el-GR"/>
                    </w:rPr>
                  </w:pPr>
                  <w:r>
                    <w:rPr>
                      <w:rFonts w:cs="Calibri" w:ascii="Calibri" w:hAnsi="Calibri"/>
                      <w:iCs/>
                      <w:sz w:val="20"/>
                      <w:szCs w:val="20"/>
                      <w:lang w:val="en-GB" w:eastAsia="el-GR"/>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Calibri"/>
                      <w:iCs/>
                      <w:sz w:val="20"/>
                      <w:szCs w:val="20"/>
                      <w:lang w:val="en-GB"/>
                    </w:rPr>
                  </w:pPr>
                  <w:r>
                    <w:rPr>
                      <w:rFonts w:cs="Calibri" w:ascii="Calibri" w:hAnsi="Calibr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Calibri"/>
                      <w:iCs/>
                      <w:sz w:val="20"/>
                      <w:szCs w:val="20"/>
                      <w:lang w:val="en-GB"/>
                    </w:rPr>
                  </w:pPr>
                  <w:r>
                    <w:rPr>
                      <w:rFonts w:cs="Calibri" w:ascii="Calibri" w:hAnsi="Calibr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i/>
                      <w:i/>
                      <w:iCs/>
                      <w:sz w:val="20"/>
                      <w:szCs w:val="20"/>
                      <w:lang w:val="en-GB"/>
                    </w:rPr>
                  </w:pPr>
                  <w:r>
                    <w:rPr>
                      <w:rFonts w:cs="Arial" w:ascii="Calibri" w:hAnsi="Calibri"/>
                      <w: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Calibri" w:hAnsi="Calibri" w:cs="Calibri"/>
                      <w:i/>
                      <w:i/>
                      <w:iCs/>
                      <w:sz w:val="20"/>
                      <w:szCs w:val="20"/>
                      <w:lang w:val="en-GB"/>
                    </w:rPr>
                  </w:pPr>
                  <w:r>
                    <w:rPr>
                      <w:rFonts w:cs="Calibri" w:ascii="Calibri" w:hAnsi="Calibri"/>
                      <w:i/>
                      <w:iCs/>
                      <w:sz w:val="20"/>
                      <w:szCs w:val="20"/>
                      <w:lang w:val="en-GB"/>
                    </w:rPr>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iCs/>
                      <w:sz w:val="20"/>
                      <w:szCs w:val="20"/>
                      <w:lang w:val="en-GB"/>
                    </w:rPr>
                  </w:pPr>
                  <w:r>
                    <w:rPr>
                      <w:rFonts w:cs="Arial" w:ascii="Calibri" w:hAnsi="Calibri"/>
                      <w:iCs/>
                      <w:sz w:val="20"/>
                      <w:szCs w:val="20"/>
                      <w:lang w:val="en-GB"/>
                    </w:rPr>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Calibri" w:hAnsi="Calibri" w:cs="Calibri"/>
                      <w:iCs/>
                      <w:sz w:val="20"/>
                      <w:szCs w:val="20"/>
                      <w:lang w:val="en-GB"/>
                    </w:rPr>
                  </w:pPr>
                  <w:r>
                    <w:rPr>
                      <w:rFonts w:cs="Calibri" w:ascii="Calibri" w:hAnsi="Calibri"/>
                      <w:iCs/>
                      <w:sz w:val="20"/>
                      <w:szCs w:val="20"/>
                      <w:lang w:val="en-GB"/>
                    </w:rPr>
                    <w:t xml:space="preserve">Course total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both"/>
                    <w:rPr>
                      <w:rFonts w:ascii="Calibri" w:hAnsi="Calibri" w:cs="Arial"/>
                      <w:b/>
                      <w:b/>
                      <w:i/>
                      <w:i/>
                      <w:sz w:val="20"/>
                      <w:szCs w:val="20"/>
                      <w:lang w:val="en-GB"/>
                    </w:rPr>
                  </w:pPr>
                  <w:r>
                    <w:rPr>
                      <w:rFonts w:cs="Calibri" w:ascii="Calibri" w:hAnsi="Calibri"/>
                      <w:b/>
                      <w:bCs/>
                      <w:i/>
                      <w:iCs/>
                      <w:sz w:val="20"/>
                      <w:szCs w:val="20"/>
                      <w:lang w:eastAsia="el-GR"/>
                    </w:rPr>
                    <w:t>125 hours (5 ECTS)</w:t>
                  </w:r>
                </w:p>
              </w:tc>
            </w:tr>
          </w:tbl>
          <w:p>
            <w:pPr>
              <w:pStyle w:val="Normal"/>
              <w:jc w:val="both"/>
              <w:rPr>
                <w:rFonts w:ascii="Calibri" w:hAnsi="Calibri" w:cs="Tahoma"/>
                <w:sz w:val="20"/>
                <w:szCs w:val="20"/>
                <w:lang w:val="en-GB"/>
              </w:rPr>
            </w:pPr>
            <w:r>
              <w:rPr>
                <w:rFonts w:cs="Tahoma" w:ascii="Calibri" w:hAnsi="Calibri"/>
                <w:sz w:val="20"/>
                <w:szCs w:val="20"/>
                <w:lang w:val="en-GB"/>
              </w:rPr>
            </w:r>
          </w:p>
        </w:tc>
      </w:tr>
      <w:tr>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Calibri" w:hAnsi="Calibri" w:cs="Arial"/>
                <w:b/>
                <w:b/>
                <w:sz w:val="20"/>
                <w:szCs w:val="20"/>
                <w:lang w:val="en-GB"/>
              </w:rPr>
            </w:pPr>
            <w:r>
              <w:rPr>
                <w:rFonts w:cs="Arial" w:ascii="Calibri" w:hAnsi="Calibri"/>
                <w:b/>
                <w:sz w:val="20"/>
                <w:szCs w:val="20"/>
                <w:lang w:val="en-GB"/>
              </w:rPr>
              <w:t>STUDENT PERFORMANCE EVALUATION</w:t>
            </w:r>
          </w:p>
          <w:p>
            <w:pPr>
              <w:pStyle w:val="Normal"/>
              <w:jc w:val="both"/>
              <w:rPr>
                <w:rFonts w:ascii="Calibri" w:hAnsi="Calibri" w:cs="Arial"/>
                <w:i/>
                <w:i/>
                <w:sz w:val="20"/>
                <w:szCs w:val="20"/>
                <w:lang w:val="en-GB"/>
              </w:rPr>
            </w:pPr>
            <w:r>
              <w:rPr>
                <w:rFonts w:cs="Arial" w:ascii="Calibri" w:hAnsi="Calibri"/>
                <w:i/>
                <w:sz w:val="20"/>
                <w:szCs w:val="20"/>
                <w:lang w:val="en-GB"/>
              </w:rPr>
              <w:t>Description of the evaluation procedure</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Specifically-defined evaluation criteria are given, and if and where they are accessible to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i/>
                <w:i/>
                <w:sz w:val="20"/>
                <w:szCs w:val="20"/>
                <w:lang w:val="en-GB"/>
              </w:rPr>
            </w:pPr>
            <w:r>
              <w:rPr>
                <w:rFonts w:cs="Arial" w:ascii="Calibri" w:hAnsi="Calibri"/>
                <w:i/>
                <w:sz w:val="20"/>
                <w:szCs w:val="20"/>
                <w:lang w:val="en-GB"/>
              </w:rPr>
              <w:t>Language of evaluation: Greek</w:t>
            </w:r>
          </w:p>
          <w:p>
            <w:pPr>
              <w:pStyle w:val="Normal"/>
              <w:jc w:val="both"/>
              <w:rPr>
                <w:rFonts w:ascii="Calibri" w:hAnsi="Calibri" w:cs="Arial"/>
                <w:i/>
                <w:i/>
                <w:sz w:val="20"/>
                <w:szCs w:val="20"/>
                <w:lang w:val="en-GB"/>
              </w:rPr>
            </w:pPr>
            <w:r>
              <w:rPr>
                <w:rFonts w:cs="Arial" w:ascii="Calibri" w:hAnsi="Calibri"/>
                <w:i/>
                <w:sz w:val="20"/>
                <w:szCs w:val="20"/>
                <w:lang w:val="en-GB"/>
              </w:rPr>
            </w:r>
          </w:p>
          <w:p>
            <w:pPr>
              <w:pStyle w:val="Normal"/>
              <w:jc w:val="both"/>
              <w:rPr>
                <w:rFonts w:ascii="Calibri" w:hAnsi="Calibri" w:cs="Arial"/>
                <w:sz w:val="20"/>
                <w:szCs w:val="20"/>
                <w:lang w:val="en-GB"/>
              </w:rPr>
            </w:pPr>
            <w:r>
              <w:rPr>
                <w:rFonts w:cs="Arial" w:ascii="Calibri" w:hAnsi="Calibri"/>
                <w:i/>
                <w:sz w:val="20"/>
                <w:szCs w:val="20"/>
                <w:lang w:val="en-GB"/>
              </w:rPr>
              <w:t>methods of evaluation: written exams s, open-ended questions. Written essays</w:t>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p>
            <w:pPr>
              <w:pStyle w:val="Normal"/>
              <w:jc w:val="both"/>
              <w:rPr>
                <w:rFonts w:ascii="Calibri" w:hAnsi="Calibri" w:cs="Arial"/>
                <w:sz w:val="20"/>
                <w:szCs w:val="20"/>
                <w:lang w:val="en-GB"/>
              </w:rPr>
            </w:pPr>
            <w:r>
              <w:rPr>
                <w:rFonts w:cs="Arial" w:ascii="Calibri" w:hAnsi="Calibri"/>
                <w:sz w:val="20"/>
                <w:szCs w:val="20"/>
                <w:lang w:val="en-GB"/>
              </w:rPr>
            </w:r>
          </w:p>
        </w:tc>
      </w:tr>
    </w:tbl>
    <w:p>
      <w:pPr>
        <w:pStyle w:val="Normal"/>
        <w:widowControl w:val="false"/>
        <w:numPr>
          <w:ilvl w:val="0"/>
          <w:numId w:val="2"/>
        </w:numPr>
        <w:autoSpaceDE w:val="false"/>
        <w:spacing w:lineRule="auto" w:line="276" w:before="240" w:after="200"/>
        <w:ind w:left="357" w:hanging="357"/>
        <w:jc w:val="both"/>
        <w:rPr/>
      </w:pPr>
      <w:r>
        <w:rPr/>
        <w:t>ATTACHED BIBLIOGRAPHY</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rFonts w:cs="Calibri" w:ascii="Calibri" w:hAnsi="Calibri"/>
                <w:sz w:val="20"/>
                <w:szCs w:val="20"/>
                <w:lang w:val="el-GR"/>
              </w:rPr>
              <w:t xml:space="preserve">-------, </w:t>
            </w:r>
            <w:r>
              <w:rPr>
                <w:rFonts w:cs="Calibri" w:ascii="Calibri" w:hAnsi="Calibri"/>
                <w:i/>
                <w:sz w:val="20"/>
                <w:szCs w:val="20"/>
                <w:lang w:val="el-GR"/>
              </w:rPr>
              <w:t xml:space="preserve">Ισπανία, Πορτογαλία, Ελλάδα. Τριάντα χρόνια από τη μετάβαση στη δημοκρατία, </w:t>
            </w:r>
            <w:r>
              <w:rPr>
                <w:rFonts w:cs="Calibri" w:ascii="Calibri" w:hAnsi="Calibri"/>
                <w:sz w:val="20"/>
                <w:szCs w:val="20"/>
                <w:lang w:val="el-GR"/>
              </w:rPr>
              <w:t xml:space="preserve">Αθήνα: Ίδρυμα Κωνσταντίνος Γ. Καραμανλής/Εκδόσεις Πατάκη, 2006. </w:t>
            </w:r>
          </w:p>
          <w:p>
            <w:pPr>
              <w:pStyle w:val="Normal"/>
              <w:jc w:val="both"/>
              <w:rPr/>
            </w:pPr>
            <w:r>
              <w:rPr>
                <w:rFonts w:cs="Calibri" w:ascii="Calibri" w:hAnsi="Calibri"/>
                <w:sz w:val="20"/>
                <w:szCs w:val="20"/>
              </w:rPr>
              <w:t xml:space="preserve">Aliboni R. – G.Joffe – T. Niblock (eds), </w:t>
            </w:r>
            <w:r>
              <w:rPr>
                <w:rFonts w:cs="Calibri" w:ascii="Calibri" w:hAnsi="Calibri"/>
                <w:i/>
                <w:sz w:val="20"/>
                <w:szCs w:val="20"/>
              </w:rPr>
              <w:t>Security Challenges in the Mediterranean Region,</w:t>
            </w:r>
            <w:r>
              <w:rPr>
                <w:rFonts w:cs="Calibri" w:ascii="Calibri" w:hAnsi="Calibri"/>
                <w:sz w:val="20"/>
                <w:szCs w:val="20"/>
              </w:rPr>
              <w:t xml:space="preserve"> London: Frank Cass, 1996,  ΒΙΒΛΙΟΘΗΚΗ : 327.091822.</w:t>
            </w:r>
          </w:p>
          <w:p>
            <w:pPr>
              <w:pStyle w:val="Normal"/>
              <w:autoSpaceDE w:val="false"/>
              <w:jc w:val="both"/>
              <w:rPr/>
            </w:pPr>
            <w:r>
              <w:rPr>
                <w:rFonts w:cs="Calibri" w:ascii="Calibri" w:hAnsi="Calibri"/>
                <w:sz w:val="20"/>
                <w:szCs w:val="20"/>
              </w:rPr>
              <w:t xml:space="preserve">Arrighi, </w:t>
            </w:r>
            <w:r>
              <w:rPr>
                <w:rFonts w:cs="Calibri" w:ascii="Calibri" w:hAnsi="Calibri"/>
                <w:i/>
                <w:sz w:val="20"/>
                <w:szCs w:val="20"/>
              </w:rPr>
              <w:t>. Semiperipheral Development: The Politics of Southern Europe in the Twentieth Century</w:t>
            </w:r>
            <w:r>
              <w:rPr>
                <w:rFonts w:cs="Calibri" w:ascii="Calibri" w:hAnsi="Calibri"/>
                <w:sz w:val="20"/>
                <w:szCs w:val="20"/>
              </w:rPr>
              <w:t>. Beverly Hills, CA: Sage, 1985.</w:t>
            </w:r>
          </w:p>
          <w:p>
            <w:pPr>
              <w:pStyle w:val="Normal"/>
              <w:autoSpaceDE w:val="false"/>
              <w:jc w:val="both"/>
              <w:rPr/>
            </w:pPr>
            <w:r>
              <w:rPr>
                <w:rFonts w:cs="Calibri" w:ascii="Calibri" w:hAnsi="Calibri"/>
                <w:sz w:val="20"/>
                <w:szCs w:val="20"/>
              </w:rPr>
              <w:t xml:space="preserve">Balkir, C- Bolukbasi, T.A (eds), </w:t>
            </w:r>
            <w:r>
              <w:rPr>
                <w:rFonts w:cs="Calibri" w:ascii="Calibri" w:hAnsi="Calibri"/>
                <w:i/>
                <w:sz w:val="20"/>
                <w:szCs w:val="20"/>
              </w:rPr>
              <w:t xml:space="preserve">Europeanization of Public Policy in Southern Europe: Comparative Political Economy from the 200s to the Crisis, </w:t>
            </w:r>
            <w:r>
              <w:rPr>
                <w:rFonts w:cs="Calibri" w:ascii="Calibri" w:hAnsi="Calibri"/>
                <w:sz w:val="20"/>
                <w:szCs w:val="20"/>
              </w:rPr>
              <w:t>London: Routledge, 2014.</w:t>
            </w:r>
          </w:p>
          <w:p>
            <w:pPr>
              <w:pStyle w:val="Normal"/>
              <w:autoSpaceDE w:val="false"/>
              <w:jc w:val="both"/>
              <w:rPr/>
            </w:pPr>
            <w:r>
              <w:rPr>
                <w:rFonts w:cs="Calibri" w:ascii="Calibri" w:hAnsi="Calibri"/>
                <w:sz w:val="20"/>
                <w:szCs w:val="20"/>
              </w:rPr>
              <w:t xml:space="preserve">Barbe E.- A.Herranz- Surralles (eds), </w:t>
            </w:r>
            <w:r>
              <w:rPr>
                <w:rFonts w:cs="Calibri" w:ascii="Calibri" w:hAnsi="Calibri"/>
                <w:i/>
                <w:sz w:val="20"/>
                <w:szCs w:val="20"/>
              </w:rPr>
              <w:t xml:space="preserve">The Challenge of Differentation in Euro –Mediterranean Relations: Flexible Regional Cooperation or Fragmentation? </w:t>
            </w:r>
            <w:r>
              <w:rPr>
                <w:rFonts w:cs="Calibri" w:ascii="Calibri" w:hAnsi="Calibri"/>
                <w:sz w:val="20"/>
                <w:szCs w:val="20"/>
              </w:rPr>
              <w:t>London: Routledge, 2013.</w:t>
            </w:r>
          </w:p>
          <w:p>
            <w:pPr>
              <w:pStyle w:val="Normal"/>
              <w:autoSpaceDE w:val="false"/>
              <w:jc w:val="both"/>
              <w:rPr/>
            </w:pPr>
            <w:r>
              <w:rPr>
                <w:rFonts w:cs="Calibri" w:ascii="Calibri" w:hAnsi="Calibri"/>
                <w:sz w:val="20"/>
                <w:szCs w:val="20"/>
              </w:rPr>
              <w:t xml:space="preserve">Bermeo, N. – Costa Pinto, A- Tavares de Alemeida, P. (eds), </w:t>
            </w:r>
            <w:r>
              <w:rPr>
                <w:rFonts w:cs="Calibri" w:ascii="Calibri" w:hAnsi="Calibri"/>
                <w:i/>
                <w:sz w:val="20"/>
                <w:szCs w:val="20"/>
              </w:rPr>
              <w:t xml:space="preserve">Who Governs Southern Europe? Regime Change and Ministerial Rcruitment, 1850 – 2000, </w:t>
            </w:r>
            <w:r>
              <w:rPr>
                <w:rFonts w:cs="Calibri" w:ascii="Calibri" w:hAnsi="Calibri"/>
                <w:sz w:val="20"/>
                <w:szCs w:val="20"/>
              </w:rPr>
              <w:t>London; Frank Cass, 2002.</w:t>
            </w:r>
          </w:p>
          <w:p>
            <w:pPr>
              <w:pStyle w:val="Normal"/>
              <w:autoSpaceDE w:val="false"/>
              <w:jc w:val="both"/>
              <w:rPr/>
            </w:pPr>
            <w:r>
              <w:rPr>
                <w:rFonts w:cs="Calibri" w:ascii="Calibri" w:hAnsi="Calibri"/>
                <w:sz w:val="20"/>
                <w:szCs w:val="20"/>
              </w:rPr>
              <w:t xml:space="preserve">Bosco, A –Verney, S. (eds), </w:t>
            </w:r>
            <w:r>
              <w:rPr>
                <w:rFonts w:cs="Calibri" w:ascii="Calibri" w:hAnsi="Calibri"/>
                <w:i/>
                <w:sz w:val="20"/>
                <w:szCs w:val="20"/>
              </w:rPr>
              <w:t xml:space="preserve">Elections in Hard Times: Southern Europe 2010- 11, </w:t>
            </w:r>
            <w:r>
              <w:rPr>
                <w:rFonts w:cs="Calibri" w:ascii="Calibri" w:hAnsi="Calibri"/>
                <w:sz w:val="20"/>
                <w:szCs w:val="20"/>
              </w:rPr>
              <w:t>London: Routledge, 2013.</w:t>
            </w:r>
          </w:p>
          <w:p>
            <w:pPr>
              <w:pStyle w:val="Normal"/>
              <w:autoSpaceDE w:val="false"/>
              <w:jc w:val="both"/>
              <w:rPr/>
            </w:pPr>
            <w:r>
              <w:rPr>
                <w:rFonts w:cs="Calibri" w:ascii="Calibri" w:hAnsi="Calibri"/>
                <w:sz w:val="20"/>
                <w:szCs w:val="20"/>
              </w:rPr>
              <w:t xml:space="preserve">Chilcote, R. et al, </w:t>
            </w:r>
            <w:r>
              <w:rPr>
                <w:rFonts w:cs="Calibri" w:ascii="Calibri" w:hAnsi="Calibri"/>
                <w:i/>
                <w:sz w:val="20"/>
                <w:szCs w:val="20"/>
              </w:rPr>
              <w:t xml:space="preserve">Transitions from dictatorship to democracy : comparative studies of Spain, Portugal, and Greece, </w:t>
            </w:r>
            <w:r>
              <w:rPr>
                <w:rFonts w:cs="Calibri" w:ascii="Calibri" w:hAnsi="Calibri"/>
                <w:sz w:val="20"/>
                <w:szCs w:val="20"/>
              </w:rPr>
              <w:t>New York : Taylor &amp; Francis,1990.</w:t>
            </w:r>
          </w:p>
          <w:p>
            <w:pPr>
              <w:pStyle w:val="Normal"/>
              <w:jc w:val="both"/>
              <w:rPr/>
            </w:pPr>
            <w:r>
              <w:rPr>
                <w:rFonts w:cs="Times" w:ascii="Calibri" w:hAnsi="Calibri"/>
                <w:sz w:val="20"/>
                <w:szCs w:val="20"/>
                <w:lang w:val="el-GR"/>
              </w:rPr>
              <w:t xml:space="preserve">Γεωργής , Γ.-  Μ. Μπονατσου (επιμέλεια), </w:t>
            </w:r>
            <w:r>
              <w:rPr>
                <w:rFonts w:cs="Times" w:ascii="Calibri" w:hAnsi="Calibri"/>
                <w:i/>
                <w:sz w:val="20"/>
                <w:szCs w:val="20"/>
                <w:lang w:val="el-GR"/>
              </w:rPr>
              <w:t xml:space="preserve">Στους αντίποδες της Μεσογείου Ισπανία-Κύπρος : διαχρονικές σχέσεις, </w:t>
            </w:r>
            <w:r>
              <w:rPr>
                <w:rFonts w:cs="Times" w:ascii="Calibri" w:hAnsi="Calibri"/>
                <w:sz w:val="20"/>
                <w:szCs w:val="20"/>
                <w:lang w:val="el-GR"/>
              </w:rPr>
              <w:t xml:space="preserve">Λευκωσία: Εν Τύποις , 2010. </w:t>
            </w:r>
            <w:r>
              <w:rPr>
                <w:rFonts w:cs="Times" w:ascii="Calibri" w:hAnsi="Calibri"/>
                <w:sz w:val="20"/>
                <w:szCs w:val="20"/>
              </w:rPr>
              <w:t>ΒΙΒΛΙΟΘΗΚΗ: 327.4605693, 22</w:t>
            </w:r>
          </w:p>
          <w:p>
            <w:pPr>
              <w:pStyle w:val="Normal"/>
              <w:jc w:val="both"/>
              <w:rPr/>
            </w:pPr>
            <w:r>
              <w:rPr>
                <w:rFonts w:cs="Calibri" w:ascii="Calibri" w:hAnsi="Calibri"/>
                <w:sz w:val="20"/>
                <w:szCs w:val="20"/>
                <w:lang w:eastAsia="el-GR"/>
              </w:rPr>
              <w:t xml:space="preserve">Diamantouros, N. - </w:t>
            </w:r>
            <w:r>
              <w:rPr>
                <w:rFonts w:cs="Calibri" w:ascii="Calibri" w:hAnsi="Calibri"/>
                <w:sz w:val="20"/>
                <w:szCs w:val="20"/>
              </w:rPr>
              <w:t xml:space="preserve">R. Gunther (eds.), </w:t>
            </w:r>
            <w:r>
              <w:rPr>
                <w:rFonts w:cs="Calibri" w:ascii="Calibri" w:hAnsi="Calibri"/>
                <w:i/>
                <w:sz w:val="20"/>
                <w:szCs w:val="20"/>
              </w:rPr>
              <w:t>Parties, Politics and Democracy in the New Southern Europe</w:t>
            </w:r>
            <w:r>
              <w:rPr>
                <w:rFonts w:cs="Calibri" w:ascii="Calibri" w:hAnsi="Calibri"/>
                <w:sz w:val="20"/>
                <w:szCs w:val="20"/>
              </w:rPr>
              <w:t>. Baltimore, MD: The Johns Hopkins University Press, 2001.</w:t>
            </w:r>
          </w:p>
          <w:p>
            <w:pPr>
              <w:pStyle w:val="Normal"/>
              <w:autoSpaceDE w:val="false"/>
              <w:jc w:val="both"/>
              <w:rPr>
                <w:rFonts w:ascii="Calibri" w:hAnsi="Calibri" w:cs="AdvP66F9;Times New Roman"/>
                <w:i/>
                <w:i/>
                <w:sz w:val="20"/>
                <w:szCs w:val="20"/>
              </w:rPr>
            </w:pPr>
            <w:r>
              <w:rPr>
                <w:rFonts w:cs="AdvP66FA;Times New Roman" w:ascii="Calibri" w:hAnsi="Calibri"/>
                <w:sz w:val="20"/>
                <w:szCs w:val="20"/>
              </w:rPr>
              <w:t xml:space="preserve">Featherstone, K.  -  G.  Kazamias (eds.) </w:t>
            </w:r>
            <w:r>
              <w:rPr>
                <w:rFonts w:cs="AdvP66F9;Times New Roman" w:ascii="Calibri" w:hAnsi="Calibri"/>
                <w:i/>
                <w:sz w:val="20"/>
                <w:szCs w:val="20"/>
              </w:rPr>
              <w:t>Europeanization and the Southern Periphery</w:t>
            </w:r>
            <w:r>
              <w:rPr>
                <w:rFonts w:cs="AdvP66FA;Times New Roman" w:ascii="Calibri" w:hAnsi="Calibri"/>
                <w:sz w:val="20"/>
                <w:szCs w:val="20"/>
              </w:rPr>
              <w:t>. London: Frank Cass, 2001.</w:t>
            </w:r>
          </w:p>
          <w:p>
            <w:pPr>
              <w:pStyle w:val="Normal"/>
              <w:jc w:val="both"/>
              <w:rPr/>
            </w:pPr>
            <w:r>
              <w:rPr>
                <w:rFonts w:cs="AdvP66FA;Times New Roman" w:ascii="Calibri" w:hAnsi="Calibri"/>
                <w:sz w:val="20"/>
                <w:szCs w:val="20"/>
              </w:rPr>
              <w:t xml:space="preserve">Hannapi, H., </w:t>
            </w:r>
            <w:r>
              <w:rPr>
                <w:rFonts w:cs="AdvP66FA;Times New Roman" w:ascii="Calibri" w:hAnsi="Calibri"/>
                <w:i/>
                <w:sz w:val="20"/>
                <w:szCs w:val="20"/>
              </w:rPr>
              <w:t xml:space="preserve">South </w:t>
            </w:r>
            <w:r>
              <w:rPr>
                <w:rFonts w:cs="Calibri" w:ascii="Calibri" w:hAnsi="Calibri"/>
                <w:i/>
                <w:sz w:val="20"/>
                <w:szCs w:val="20"/>
              </w:rPr>
              <w:t>–East Europe in Evolution,</w:t>
            </w:r>
            <w:r>
              <w:rPr>
                <w:rFonts w:cs="AdvP66FA;Times New Roman" w:ascii="Calibri" w:hAnsi="Calibri"/>
                <w:i/>
                <w:sz w:val="20"/>
                <w:szCs w:val="20"/>
              </w:rPr>
              <w:t xml:space="preserve"> </w:t>
            </w:r>
            <w:r>
              <w:rPr>
                <w:rFonts w:cs="AdvP66FA;Times New Roman" w:ascii="Calibri" w:hAnsi="Calibri"/>
                <w:sz w:val="20"/>
                <w:szCs w:val="20"/>
              </w:rPr>
              <w:t>London: Routledge, 2014.</w:t>
            </w:r>
            <w:r>
              <w:rPr>
                <w:rFonts w:cs="AdvP66FA;Times New Roman" w:ascii="Calibri" w:hAnsi="Calibri"/>
                <w:i/>
                <w:sz w:val="20"/>
                <w:szCs w:val="20"/>
              </w:rPr>
              <w:t xml:space="preserve"> </w:t>
            </w:r>
          </w:p>
          <w:p>
            <w:pPr>
              <w:pStyle w:val="Normal"/>
              <w:autoSpaceDE w:val="false"/>
              <w:jc w:val="both"/>
              <w:rPr/>
            </w:pPr>
            <w:r>
              <w:rPr>
                <w:rFonts w:cs="Calibri" w:ascii="Calibri" w:hAnsi="Calibri"/>
                <w:sz w:val="20"/>
                <w:szCs w:val="20"/>
              </w:rPr>
              <w:t>Gibson, H. D. (2001</w:t>
            </w:r>
            <w:r>
              <w:rPr>
                <w:rFonts w:cs="Calibri" w:ascii="Calibri" w:hAnsi="Calibri"/>
                <w:i/>
                <w:sz w:val="20"/>
                <w:szCs w:val="20"/>
              </w:rPr>
              <w:t>, Economic Transformation, Democratization and Integration into the European Union: Southern Europe in Comparative Perspective.</w:t>
            </w:r>
            <w:r>
              <w:rPr>
                <w:rFonts w:cs="Calibri" w:ascii="Calibri" w:hAnsi="Calibri"/>
                <w:sz w:val="20"/>
                <w:szCs w:val="20"/>
              </w:rPr>
              <w:t xml:space="preserve"> Basingstoke, UK: Palgrave.</w:t>
            </w:r>
          </w:p>
          <w:p>
            <w:pPr>
              <w:pStyle w:val="Normal"/>
              <w:autoSpaceDE w:val="false"/>
              <w:jc w:val="both"/>
              <w:rPr/>
            </w:pPr>
            <w:r>
              <w:rPr>
                <w:rFonts w:eastAsia="Calibri" w:cs="Calibri" w:ascii="Calibri" w:hAnsi="Calibri"/>
                <w:sz w:val="20"/>
                <w:szCs w:val="20"/>
              </w:rPr>
              <w:t xml:space="preserve"> </w:t>
            </w:r>
            <w:r>
              <w:rPr>
                <w:rFonts w:cs="Calibri" w:ascii="Calibri" w:hAnsi="Calibri"/>
                <w:sz w:val="20"/>
                <w:szCs w:val="20"/>
              </w:rPr>
              <w:t xml:space="preserve">Gillespie, R.  </w:t>
            </w:r>
            <w:r>
              <w:rPr>
                <w:rFonts w:cs="Calibri" w:ascii="Calibri" w:hAnsi="Calibri"/>
                <w:i/>
                <w:iCs/>
                <w:sz w:val="20"/>
                <w:szCs w:val="20"/>
              </w:rPr>
              <w:t>Spain and the Mediterranean: Developing a European Policy towards the South</w:t>
            </w:r>
            <w:r>
              <w:rPr>
                <w:rFonts w:cs="Calibri" w:ascii="Calibri" w:hAnsi="Calibri"/>
                <w:sz w:val="20"/>
                <w:szCs w:val="20"/>
              </w:rPr>
              <w:t>, Basingstoke: Macmillan 2000.</w:t>
            </w:r>
          </w:p>
          <w:p>
            <w:pPr>
              <w:pStyle w:val="Normal"/>
              <w:autoSpaceDE w:val="false"/>
              <w:jc w:val="both"/>
              <w:rPr>
                <w:rFonts w:ascii="Calibri" w:hAnsi="Calibri" w:cs="Calibri"/>
                <w:sz w:val="20"/>
                <w:szCs w:val="20"/>
              </w:rPr>
            </w:pPr>
            <w:r>
              <w:rPr>
                <w:rFonts w:cs="Calibri" w:ascii="Calibri" w:hAnsi="Calibri"/>
                <w:sz w:val="20"/>
                <w:szCs w:val="20"/>
              </w:rPr>
              <w:t xml:space="preserve">Gillespie, R. -   Youngs R.  (eds.) </w:t>
            </w:r>
            <w:r>
              <w:rPr>
                <w:rFonts w:cs="Calibri" w:ascii="Calibri" w:hAnsi="Calibri"/>
                <w:i/>
                <w:iCs/>
                <w:sz w:val="20"/>
                <w:szCs w:val="20"/>
              </w:rPr>
              <w:t>Spain: The European and International Challenges</w:t>
            </w:r>
          </w:p>
          <w:p>
            <w:pPr>
              <w:pStyle w:val="Normal"/>
              <w:autoSpaceDE w:val="false"/>
              <w:jc w:val="both"/>
              <w:rPr>
                <w:rFonts w:ascii="Calibri" w:hAnsi="Calibri" w:cs="Calibri"/>
                <w:i/>
                <w:i/>
                <w:iCs/>
                <w:sz w:val="20"/>
                <w:szCs w:val="20"/>
              </w:rPr>
            </w:pPr>
            <w:r>
              <w:rPr>
                <w:rFonts w:cs="Calibri" w:ascii="Calibri" w:hAnsi="Calibri"/>
                <w:sz w:val="20"/>
                <w:szCs w:val="20"/>
              </w:rPr>
              <w:t>London and Portland, OR: Frank Cass 2001.</w:t>
            </w:r>
          </w:p>
          <w:p>
            <w:pPr>
              <w:pStyle w:val="Normal"/>
              <w:jc w:val="both"/>
              <w:rPr/>
            </w:pPr>
            <w:r>
              <w:rPr>
                <w:rFonts w:cs="Calibri" w:ascii="Calibri" w:hAnsi="Calibri"/>
                <w:sz w:val="20"/>
                <w:szCs w:val="20"/>
              </w:rPr>
              <w:t xml:space="preserve">Gunther, R- N. Diamantouros – D. Sotiropoulos (eds), </w:t>
            </w:r>
            <w:r>
              <w:rPr>
                <w:rFonts w:cs="Calibri" w:ascii="Calibri" w:hAnsi="Calibri"/>
                <w:i/>
                <w:sz w:val="20"/>
                <w:szCs w:val="20"/>
              </w:rPr>
              <w:t xml:space="preserve">Democracy and the State in the New Southern Europe, </w:t>
            </w:r>
            <w:r>
              <w:rPr>
                <w:rFonts w:cs="Calibri" w:ascii="Calibri" w:hAnsi="Calibri"/>
                <w:sz w:val="20"/>
                <w:szCs w:val="20"/>
              </w:rPr>
              <w:t xml:space="preserve">Oxford: Oxford University Press, 2006. </w:t>
            </w:r>
          </w:p>
          <w:p>
            <w:pPr>
              <w:pStyle w:val="Normal"/>
              <w:autoSpaceDE w:val="false"/>
              <w:jc w:val="both"/>
              <w:rPr/>
            </w:pPr>
            <w:r>
              <w:rPr>
                <w:rFonts w:cs="Calibri" w:ascii="Calibri" w:hAnsi="Calibri"/>
                <w:sz w:val="20"/>
                <w:szCs w:val="20"/>
              </w:rPr>
              <w:t xml:space="preserve">Gunther, R- N. Diamantouros P – H. Jurgen Puhle (eds), </w:t>
            </w:r>
            <w:r>
              <w:rPr>
                <w:rFonts w:cs="Calibri" w:ascii="Calibri" w:hAnsi="Calibri"/>
                <w:i/>
                <w:sz w:val="20"/>
                <w:szCs w:val="20"/>
              </w:rPr>
              <w:t>The Politics of Democratic Consolidation: Southern Europe in Comparative Perspective</w:t>
            </w:r>
            <w:r>
              <w:rPr>
                <w:rFonts w:cs="Calibri" w:ascii="Calibri" w:hAnsi="Calibri"/>
                <w:sz w:val="20"/>
                <w:szCs w:val="20"/>
              </w:rPr>
              <w:t>, Baltimore and London: The Johns Hopkins University Press, 1995.</w:t>
            </w:r>
          </w:p>
          <w:p>
            <w:pPr>
              <w:pStyle w:val="Normal"/>
              <w:autoSpaceDE w:val="false"/>
              <w:jc w:val="both"/>
              <w:rPr/>
            </w:pPr>
            <w:r>
              <w:rPr>
                <w:rFonts w:cs="Calibri" w:ascii="Calibri" w:hAnsi="Calibri"/>
                <w:sz w:val="20"/>
                <w:szCs w:val="20"/>
              </w:rPr>
              <w:t xml:space="preserve">Hatjimichalis, C., </w:t>
            </w:r>
            <w:r>
              <w:rPr>
                <w:rFonts w:cs="Calibri" w:ascii="Calibri" w:hAnsi="Calibri"/>
                <w:i/>
                <w:sz w:val="20"/>
                <w:szCs w:val="20"/>
              </w:rPr>
              <w:t xml:space="preserve">Uneven Development and Regionalism: State, Territory and Class in Southern Europe, </w:t>
            </w:r>
            <w:r>
              <w:rPr>
                <w:rFonts w:cs="Calibri" w:ascii="Calibri" w:hAnsi="Calibri"/>
                <w:sz w:val="20"/>
                <w:szCs w:val="20"/>
              </w:rPr>
              <w:t>London: Croom Helm, 1987.</w:t>
            </w:r>
          </w:p>
          <w:p>
            <w:pPr>
              <w:pStyle w:val="Normal"/>
              <w:autoSpaceDE w:val="false"/>
              <w:jc w:val="both"/>
              <w:rPr/>
            </w:pPr>
            <w:r>
              <w:rPr>
                <w:rFonts w:cs="Calibri" w:ascii="Calibri" w:hAnsi="Calibri"/>
                <w:sz w:val="20"/>
                <w:szCs w:val="20"/>
              </w:rPr>
              <w:t xml:space="preserve">Higley, J – Gunther, R. (eds), </w:t>
            </w:r>
            <w:r>
              <w:rPr>
                <w:rFonts w:cs="Calibri" w:ascii="Calibri" w:hAnsi="Calibri"/>
                <w:i/>
                <w:sz w:val="20"/>
                <w:szCs w:val="20"/>
              </w:rPr>
              <w:t xml:space="preserve">Elites and Democratic consolidation in Latin America and Southern Europe, </w:t>
            </w:r>
            <w:r>
              <w:rPr>
                <w:rFonts w:cs="Calibri" w:ascii="Calibri" w:hAnsi="Calibri"/>
                <w:sz w:val="20"/>
                <w:szCs w:val="20"/>
              </w:rPr>
              <w:t>Cambridge: Cambridge University Press, 1992.</w:t>
            </w:r>
          </w:p>
          <w:p>
            <w:pPr>
              <w:pStyle w:val="Normal"/>
              <w:autoSpaceDE w:val="false"/>
              <w:jc w:val="both"/>
              <w:rPr/>
            </w:pPr>
            <w:r>
              <w:rPr>
                <w:rFonts w:cs="Calibri" w:ascii="Calibri" w:hAnsi="Calibri"/>
                <w:sz w:val="20"/>
                <w:szCs w:val="20"/>
              </w:rPr>
              <w:t xml:space="preserve">Horst, J – A. Junemann – D. Rothe (eds), </w:t>
            </w:r>
            <w:r>
              <w:rPr>
                <w:rFonts w:cs="Calibri" w:ascii="Calibri" w:hAnsi="Calibri"/>
                <w:i/>
                <w:sz w:val="20"/>
                <w:szCs w:val="20"/>
              </w:rPr>
              <w:t xml:space="preserve">Euro- Mediterranean Relations after the Arab  Spring, </w:t>
            </w:r>
            <w:r>
              <w:rPr>
                <w:rFonts w:cs="Calibri" w:ascii="Calibri" w:hAnsi="Calibri"/>
                <w:sz w:val="20"/>
                <w:szCs w:val="20"/>
              </w:rPr>
              <w:t xml:space="preserve">Farnham : Ashgate, 2013. </w:t>
            </w:r>
          </w:p>
          <w:p>
            <w:pPr>
              <w:pStyle w:val="Normal"/>
              <w:autoSpaceDE w:val="false"/>
              <w:jc w:val="both"/>
              <w:rPr/>
            </w:pPr>
            <w:r>
              <w:rPr>
                <w:rFonts w:cs="AdvP66FA;Times New Roman" w:ascii="Calibri" w:hAnsi="Calibri"/>
                <w:sz w:val="20"/>
                <w:szCs w:val="20"/>
              </w:rPr>
              <w:t xml:space="preserve">Hudson, R. -   J. Lewis (eds.), </w:t>
            </w:r>
            <w:r>
              <w:rPr>
                <w:rFonts w:cs="AdvP66F9;Times New Roman" w:ascii="Calibri" w:hAnsi="Calibri"/>
                <w:i/>
                <w:sz w:val="20"/>
                <w:szCs w:val="20"/>
              </w:rPr>
              <w:t>Uneven Development in Southern Europe</w:t>
            </w:r>
            <w:r>
              <w:rPr>
                <w:rFonts w:cs="AdvP66FA;Times New Roman" w:ascii="Calibri" w:hAnsi="Calibri"/>
                <w:i/>
                <w:sz w:val="20"/>
                <w:szCs w:val="20"/>
              </w:rPr>
              <w:t>.</w:t>
            </w:r>
            <w:r>
              <w:rPr>
                <w:rFonts w:cs="AdvP66FA;Times New Roman" w:ascii="Calibri" w:hAnsi="Calibri"/>
                <w:sz w:val="20"/>
                <w:szCs w:val="20"/>
              </w:rPr>
              <w:t xml:space="preserve"> London: Methuen, 1985.</w:t>
            </w:r>
          </w:p>
          <w:p>
            <w:pPr>
              <w:pStyle w:val="Normal"/>
              <w:autoSpaceDE w:val="false"/>
              <w:jc w:val="both"/>
              <w:rPr/>
            </w:pPr>
            <w:r>
              <w:rPr>
                <w:rFonts w:cs="Calibri" w:ascii="Calibri" w:hAnsi="Calibri"/>
                <w:sz w:val="20"/>
                <w:szCs w:val="20"/>
              </w:rPr>
              <w:t xml:space="preserve">Joffe g- A.Vasconcelos (eds), </w:t>
            </w:r>
            <w:r>
              <w:rPr>
                <w:rFonts w:cs="Calibri" w:ascii="Calibri" w:hAnsi="Calibri"/>
                <w:i/>
                <w:sz w:val="20"/>
                <w:szCs w:val="20"/>
              </w:rPr>
              <w:t xml:space="preserve">The Barcelona Process: Bliding a Euro- Mediterranean Regional Community, </w:t>
            </w:r>
            <w:r>
              <w:rPr>
                <w:rFonts w:cs="Calibri" w:ascii="Calibri" w:hAnsi="Calibri"/>
                <w:sz w:val="20"/>
                <w:szCs w:val="20"/>
              </w:rPr>
              <w:t>London: Routledge, 2014.</w:t>
            </w:r>
          </w:p>
          <w:p>
            <w:pPr>
              <w:pStyle w:val="Normal"/>
              <w:autoSpaceDE w:val="false"/>
              <w:jc w:val="both"/>
              <w:rPr/>
            </w:pPr>
            <w:r>
              <w:rPr>
                <w:rFonts w:cs="Calibri" w:ascii="Calibri" w:hAnsi="Calibri"/>
                <w:sz w:val="20"/>
                <w:szCs w:val="20"/>
              </w:rPr>
              <w:t xml:space="preserve">Katrougalos, G- Lazaridis,G.(eds), </w:t>
            </w:r>
            <w:r>
              <w:rPr>
                <w:rFonts w:cs="Calibri" w:ascii="Calibri" w:hAnsi="Calibri"/>
                <w:i/>
                <w:sz w:val="20"/>
                <w:szCs w:val="20"/>
              </w:rPr>
              <w:t>Southern European Welfare  States: Problems, Challenges and Prospects,</w:t>
            </w:r>
            <w:r>
              <w:rPr>
                <w:rFonts w:cs="Calibri" w:ascii="Calibri" w:hAnsi="Calibri"/>
                <w:sz w:val="20"/>
                <w:szCs w:val="20"/>
              </w:rPr>
              <w:t xml:space="preserve"> Basingstoke: Palgrave/MacMillan, 2003.</w:t>
            </w:r>
          </w:p>
          <w:p>
            <w:pPr>
              <w:pStyle w:val="Normal"/>
              <w:autoSpaceDE w:val="false"/>
              <w:jc w:val="both"/>
              <w:rPr/>
            </w:pPr>
            <w:r>
              <w:rPr>
                <w:rFonts w:cs="Calibri" w:ascii="Calibri" w:hAnsi="Calibri"/>
                <w:sz w:val="20"/>
                <w:szCs w:val="20"/>
              </w:rPr>
              <w:t xml:space="preserve">King, R- G. Lazaridis –C.Tsardanidis, (eds), </w:t>
            </w:r>
            <w:r>
              <w:rPr>
                <w:rFonts w:cs="Calibri" w:ascii="Calibri" w:hAnsi="Calibri"/>
                <w:i/>
                <w:sz w:val="20"/>
                <w:szCs w:val="20"/>
              </w:rPr>
              <w:t>Eldorado or fortress?: migration in Southern Europe</w:t>
            </w:r>
            <w:r>
              <w:rPr>
                <w:rFonts w:cs="Calibri" w:ascii="Calibri" w:hAnsi="Calibri"/>
                <w:sz w:val="20"/>
                <w:szCs w:val="20"/>
              </w:rPr>
              <w:t>, Basingstoke : Macmillan , 2000.</w:t>
            </w:r>
          </w:p>
          <w:p>
            <w:pPr>
              <w:pStyle w:val="Normal"/>
              <w:autoSpaceDE w:val="false"/>
              <w:jc w:val="both"/>
              <w:rPr/>
            </w:pPr>
            <w:r>
              <w:rPr>
                <w:rFonts w:cs="Calibri" w:ascii="Calibri" w:hAnsi="Calibri"/>
                <w:sz w:val="20"/>
                <w:szCs w:val="20"/>
              </w:rPr>
              <w:t xml:space="preserve">Kohler, B., </w:t>
            </w:r>
            <w:r>
              <w:rPr>
                <w:rFonts w:cs="Calibri" w:ascii="Calibri" w:hAnsi="Calibri"/>
                <w:i/>
                <w:sz w:val="20"/>
                <w:szCs w:val="20"/>
              </w:rPr>
              <w:t>Political Forces in Spain, Greece and Portugal,</w:t>
            </w:r>
            <w:r>
              <w:rPr>
                <w:rFonts w:cs="Calibri" w:ascii="Calibri" w:hAnsi="Calibri"/>
                <w:sz w:val="20"/>
                <w:szCs w:val="20"/>
              </w:rPr>
              <w:t xml:space="preserve"> London: Butterworth, 1982.</w:t>
            </w:r>
          </w:p>
          <w:p>
            <w:pPr>
              <w:pStyle w:val="Normal"/>
              <w:jc w:val="both"/>
              <w:rPr>
                <w:rFonts w:ascii="Calibri" w:hAnsi="Calibri" w:cs="Calibri"/>
                <w:sz w:val="20"/>
                <w:szCs w:val="20"/>
                <w:u w:val="single"/>
              </w:rPr>
            </w:pPr>
            <w:r>
              <w:rPr>
                <w:rFonts w:cs="Calibri" w:ascii="Calibri" w:hAnsi="Calibri"/>
                <w:sz w:val="20"/>
                <w:szCs w:val="20"/>
              </w:rPr>
              <w:t xml:space="preserve">Kourtelis, Ch., </w:t>
            </w:r>
            <w:hyperlink r:id="rId2">
              <w:r>
                <w:rPr>
                  <w:rStyle w:val="InternetLink"/>
                  <w:rFonts w:cs="Calibri" w:ascii="Calibri" w:hAnsi="Calibri"/>
                  <w:i/>
                  <w:sz w:val="20"/>
                  <w:szCs w:val="20"/>
                </w:rPr>
                <w:t xml:space="preserve">The Political Economy of Euro-Mediterranean Relations: European Neighbourhood Policy in North Africa, </w:t>
              </w:r>
              <w:r>
                <w:rPr>
                  <w:rStyle w:val="InternetLink"/>
                  <w:rFonts w:cs="Calibri" w:ascii="Calibri" w:hAnsi="Calibri"/>
                  <w:sz w:val="20"/>
                  <w:szCs w:val="20"/>
                </w:rPr>
                <w:t>Houndmills: Palgrave MacMillan, 2015.</w:t>
              </w:r>
            </w:hyperlink>
          </w:p>
          <w:p>
            <w:pPr>
              <w:pStyle w:val="Normal"/>
              <w:autoSpaceDE w:val="false"/>
              <w:jc w:val="both"/>
              <w:rPr/>
            </w:pPr>
            <w:hyperlink r:id="rId3">
              <w:r>
                <w:rPr>
                  <w:rFonts w:cs="Calibri" w:ascii="Calibri" w:hAnsi="Calibri"/>
                  <w:sz w:val="20"/>
                  <w:szCs w:val="20"/>
                </w:rPr>
                <w:t xml:space="preserve">Kurth, J –J.Petras (eds), </w:t>
              </w:r>
            </w:hyperlink>
            <w:r>
              <w:rPr>
                <w:rFonts w:cs="Calibri" w:ascii="Calibri" w:hAnsi="Calibri"/>
                <w:i/>
                <w:sz w:val="20"/>
                <w:szCs w:val="20"/>
              </w:rPr>
              <w:t xml:space="preserve">Mediterranean paradoxes: politics and social structure in southern Europe, </w:t>
            </w:r>
            <w:r>
              <w:rPr>
                <w:rFonts w:cs="Calibri" w:ascii="Calibri" w:hAnsi="Calibri"/>
                <w:sz w:val="20"/>
                <w:szCs w:val="20"/>
              </w:rPr>
              <w:t xml:space="preserve">Providence : Berg , 1993. </w:t>
            </w:r>
          </w:p>
          <w:p>
            <w:pPr>
              <w:pStyle w:val="Normal"/>
              <w:autoSpaceDE w:val="false"/>
              <w:jc w:val="both"/>
              <w:rPr/>
            </w:pPr>
            <w:r>
              <w:rPr>
                <w:rFonts w:cs="AdvP66FA;Times New Roman" w:ascii="Calibri" w:hAnsi="Calibri"/>
                <w:sz w:val="20"/>
                <w:szCs w:val="20"/>
              </w:rPr>
              <w:t xml:space="preserve">Linz, J. J. - A.  Stepan, </w:t>
            </w:r>
            <w:r>
              <w:rPr>
                <w:rFonts w:cs="AdvP66F9;Times New Roman" w:ascii="Calibri" w:hAnsi="Calibri"/>
                <w:i/>
                <w:sz w:val="20"/>
                <w:szCs w:val="20"/>
              </w:rPr>
              <w:t>Problems of Democratic Transition and Consolidation: Southern Europe, South America, and Post-Communist Europe</w:t>
            </w:r>
            <w:r>
              <w:rPr>
                <w:rFonts w:cs="AdvP66FA;Times New Roman" w:ascii="Calibri" w:hAnsi="Calibri"/>
                <w:sz w:val="20"/>
                <w:szCs w:val="20"/>
              </w:rPr>
              <w:t>.</w:t>
            </w:r>
            <w:r>
              <w:rPr>
                <w:rFonts w:cs="AdvP66F9;Times New Roman" w:ascii="Calibri" w:hAnsi="Calibri"/>
                <w:i/>
                <w:sz w:val="20"/>
                <w:szCs w:val="20"/>
              </w:rPr>
              <w:t xml:space="preserve"> </w:t>
            </w:r>
            <w:r>
              <w:rPr>
                <w:rFonts w:cs="AdvP66FA;Times New Roman" w:ascii="Calibri" w:hAnsi="Calibri"/>
                <w:sz w:val="20"/>
                <w:szCs w:val="20"/>
              </w:rPr>
              <w:t>Baltimore, MD: The Johns Hopkins University Press, 1996.</w:t>
            </w:r>
          </w:p>
          <w:p>
            <w:pPr>
              <w:pStyle w:val="Normal"/>
              <w:autoSpaceDE w:val="false"/>
              <w:jc w:val="both"/>
              <w:rPr/>
            </w:pPr>
            <w:r>
              <w:rPr>
                <w:rFonts w:cs="Calibri" w:ascii="Calibri" w:hAnsi="Calibri"/>
                <w:sz w:val="20"/>
                <w:szCs w:val="20"/>
              </w:rPr>
              <w:t xml:space="preserve">Magone, J, </w:t>
            </w:r>
            <w:r>
              <w:rPr>
                <w:rFonts w:cs="Calibri" w:ascii="Calibri" w:hAnsi="Calibri"/>
                <w:i/>
                <w:sz w:val="20"/>
                <w:szCs w:val="20"/>
              </w:rPr>
              <w:t>The Developing Place of Portugal in the European Union</w:t>
            </w:r>
            <w:r>
              <w:rPr>
                <w:rFonts w:cs="Calibri" w:ascii="Calibri" w:hAnsi="Calibri"/>
                <w:sz w:val="20"/>
                <w:szCs w:val="20"/>
              </w:rPr>
              <w:t>. New</w:t>
            </w:r>
          </w:p>
          <w:p>
            <w:pPr>
              <w:pStyle w:val="Normal"/>
              <w:autoSpaceDE w:val="false"/>
              <w:jc w:val="both"/>
              <w:rPr>
                <w:rFonts w:ascii="Calibri" w:hAnsi="Calibri" w:cs="Calibri"/>
                <w:sz w:val="20"/>
                <w:szCs w:val="20"/>
              </w:rPr>
            </w:pPr>
            <w:r>
              <w:rPr>
                <w:rFonts w:cs="Calibri" w:ascii="Calibri" w:hAnsi="Calibri"/>
                <w:sz w:val="20"/>
                <w:szCs w:val="20"/>
              </w:rPr>
              <w:t xml:space="preserve">Brunswick, NJ: Transaction, 2004. </w:t>
            </w:r>
          </w:p>
          <w:p>
            <w:pPr>
              <w:pStyle w:val="Normal"/>
              <w:autoSpaceDE w:val="false"/>
              <w:jc w:val="both"/>
              <w:rPr/>
            </w:pPr>
            <w:r>
              <w:rPr>
                <w:rFonts w:cs="Calibri" w:ascii="Calibri" w:hAnsi="Calibri"/>
                <w:sz w:val="20"/>
                <w:szCs w:val="20"/>
              </w:rPr>
              <w:t xml:space="preserve">Magone, J, </w:t>
            </w:r>
            <w:r>
              <w:rPr>
                <w:rFonts w:cs="Calibri" w:ascii="Calibri" w:hAnsi="Calibri"/>
                <w:i/>
                <w:sz w:val="20"/>
                <w:szCs w:val="20"/>
              </w:rPr>
              <w:t xml:space="preserve">The Politics of Southern Europe: Integration into the European Union, </w:t>
            </w:r>
            <w:r>
              <w:rPr>
                <w:rFonts w:cs="Calibri" w:ascii="Calibri" w:hAnsi="Calibri"/>
                <w:sz w:val="20"/>
                <w:szCs w:val="20"/>
              </w:rPr>
              <w:t>Westport: Praeger, 2004.</w:t>
            </w:r>
          </w:p>
          <w:p>
            <w:pPr>
              <w:pStyle w:val="Normal"/>
              <w:spacing w:before="0" w:after="0"/>
              <w:contextualSpacing/>
              <w:jc w:val="both"/>
              <w:rPr/>
            </w:pPr>
            <w:r>
              <w:rPr>
                <w:rFonts w:cs="Calibri" w:ascii="Calibri" w:hAnsi="Calibri"/>
                <w:sz w:val="20"/>
                <w:szCs w:val="20"/>
                <w:lang w:val="el-GR"/>
              </w:rPr>
              <w:t xml:space="preserve">Μαραβέγιας, Ν. (επιμ.), </w:t>
            </w:r>
            <w:r>
              <w:rPr>
                <w:rFonts w:cs="Calibri" w:ascii="Calibri" w:hAnsi="Calibri"/>
                <w:i/>
                <w:sz w:val="20"/>
                <w:szCs w:val="20"/>
                <w:lang w:val="el-GR"/>
              </w:rPr>
              <w:t xml:space="preserve">Εξευρωπαϊσμός στο μεσογειακό χώρο, </w:t>
            </w:r>
            <w:r>
              <w:rPr>
                <w:rFonts w:cs="Calibri" w:ascii="Calibri" w:hAnsi="Calibri"/>
                <w:sz w:val="20"/>
                <w:szCs w:val="20"/>
                <w:lang w:val="el-GR"/>
              </w:rPr>
              <w:t>Αθήνα: Νομική Βιβλιοθήκη/ Ελληνική Πανεπιστημιακή Ένωση Ευρωπαϊκών Σπουδών, 2011.</w:t>
            </w:r>
          </w:p>
          <w:p>
            <w:pPr>
              <w:pStyle w:val="Normal"/>
              <w:spacing w:before="0" w:after="0"/>
              <w:contextualSpacing/>
              <w:jc w:val="both"/>
              <w:rPr/>
            </w:pPr>
            <w:r>
              <w:rPr>
                <w:rFonts w:cs="Calibri" w:ascii="Calibri" w:hAnsi="Calibri"/>
                <w:sz w:val="20"/>
                <w:szCs w:val="20"/>
              </w:rPr>
              <w:t xml:space="preserve">Maravall, J.M., </w:t>
            </w:r>
            <w:r>
              <w:rPr>
                <w:rFonts w:cs="Calibri" w:ascii="Calibri" w:hAnsi="Calibri"/>
                <w:i/>
                <w:sz w:val="20"/>
                <w:szCs w:val="20"/>
              </w:rPr>
              <w:t xml:space="preserve">Regimes, Politics and Markets: Democratization and Economic Reform in New Democracies: A Social Democratic Approach, </w:t>
            </w:r>
            <w:r>
              <w:rPr>
                <w:rFonts w:cs="Calibri" w:ascii="Calibri" w:hAnsi="Calibri"/>
                <w:sz w:val="20"/>
                <w:szCs w:val="20"/>
              </w:rPr>
              <w:t xml:space="preserve">Cambridge: Cambridge University Press, 1997. </w:t>
            </w:r>
          </w:p>
          <w:p>
            <w:pPr>
              <w:pStyle w:val="Normal"/>
              <w:autoSpaceDE w:val="false"/>
              <w:jc w:val="both"/>
              <w:rPr/>
            </w:pPr>
            <w:r>
              <w:rPr>
                <w:rFonts w:cs="Calibri" w:ascii="Calibri" w:hAnsi="Calibri"/>
                <w:sz w:val="20"/>
                <w:szCs w:val="20"/>
              </w:rPr>
              <w:t>Morlino, L.,</w:t>
            </w:r>
            <w:r>
              <w:rPr>
                <w:rFonts w:cs="Calibri" w:ascii="Calibri" w:hAnsi="Calibri"/>
                <w:i/>
                <w:sz w:val="20"/>
                <w:szCs w:val="20"/>
              </w:rPr>
              <w:t>Democracy Between Consolidat</w:t>
            </w:r>
            <w:r>
              <w:rPr>
                <w:rFonts w:cs="Calibri" w:ascii="Calibri" w:hAnsi="Calibri"/>
                <w:sz w:val="20"/>
                <w:szCs w:val="20"/>
              </w:rPr>
              <w:t xml:space="preserve">on </w:t>
            </w:r>
            <w:r>
              <w:rPr>
                <w:rFonts w:cs="Calibri" w:ascii="Calibri" w:hAnsi="Calibri"/>
                <w:i/>
                <w:sz w:val="20"/>
                <w:szCs w:val="20"/>
              </w:rPr>
              <w:t xml:space="preserve">and Crisis: Parties, Groups and Citizens in Southern Europe, </w:t>
            </w:r>
            <w:r>
              <w:rPr>
                <w:rFonts w:cs="Calibri" w:ascii="Calibri" w:hAnsi="Calibri"/>
                <w:sz w:val="20"/>
                <w:szCs w:val="20"/>
              </w:rPr>
              <w:t>Oxford: Oxford University Press, 1998.</w:t>
            </w:r>
          </w:p>
          <w:p>
            <w:pPr>
              <w:pStyle w:val="Normal"/>
              <w:jc w:val="both"/>
              <w:rPr/>
            </w:pPr>
            <w:r>
              <w:rPr>
                <w:rFonts w:cs="Calibri" w:ascii="Calibri" w:hAnsi="Calibri"/>
                <w:sz w:val="20"/>
                <w:szCs w:val="20"/>
              </w:rPr>
              <w:t xml:space="preserve">O’Donnell, Γ.  - P. C. Schmitter-   L. C. Whitehead (eds.), </w:t>
            </w:r>
            <w:r>
              <w:rPr>
                <w:rFonts w:cs="Calibri" w:ascii="Calibri" w:hAnsi="Calibri"/>
                <w:i/>
                <w:sz w:val="20"/>
                <w:szCs w:val="20"/>
              </w:rPr>
              <w:t>Transitions from Authoritarian Rule:</w:t>
            </w:r>
            <w:r>
              <w:rPr>
                <w:rFonts w:cs="Calibri" w:ascii="Calibri" w:hAnsi="Calibri"/>
                <w:sz w:val="20"/>
                <w:szCs w:val="20"/>
                <w:lang w:eastAsia="el-GR"/>
              </w:rPr>
              <w:t xml:space="preserve"> </w:t>
            </w:r>
            <w:r>
              <w:rPr>
                <w:rFonts w:cs="Calibri" w:ascii="Calibri" w:hAnsi="Calibri"/>
                <w:i/>
                <w:sz w:val="20"/>
                <w:szCs w:val="20"/>
              </w:rPr>
              <w:t>Southern Europe</w:t>
            </w:r>
            <w:r>
              <w:rPr>
                <w:rFonts w:cs="Calibri" w:ascii="Calibri" w:hAnsi="Calibri"/>
                <w:sz w:val="20"/>
                <w:szCs w:val="20"/>
              </w:rPr>
              <w:t>. Baltimore, MD: The Johns Hopkins University Press.1986.</w:t>
            </w:r>
          </w:p>
          <w:p>
            <w:pPr>
              <w:pStyle w:val="Normal"/>
              <w:jc w:val="both"/>
              <w:rPr/>
            </w:pPr>
            <w:r>
              <w:rPr>
                <w:rFonts w:cs="Calibri" w:ascii="Calibri" w:hAnsi="Calibri"/>
                <w:sz w:val="20"/>
                <w:szCs w:val="20"/>
              </w:rPr>
              <w:t xml:space="preserve">Papazoglou, C. , </w:t>
            </w:r>
            <w:r>
              <w:rPr>
                <w:rFonts w:cs="Calibri" w:ascii="Calibri" w:hAnsi="Calibri"/>
                <w:i/>
                <w:sz w:val="20"/>
                <w:szCs w:val="20"/>
              </w:rPr>
              <w:t>The Economies of South Eastern Europe: Performance and Challenges,</w:t>
            </w:r>
            <w:r>
              <w:rPr>
                <w:rFonts w:cs="Calibri" w:ascii="Calibri" w:hAnsi="Calibri"/>
                <w:sz w:val="20"/>
                <w:szCs w:val="20"/>
              </w:rPr>
              <w:t>Basingston : MacMillan Press, 2005.</w:t>
            </w:r>
          </w:p>
          <w:p>
            <w:pPr>
              <w:pStyle w:val="Normal"/>
              <w:jc w:val="both"/>
              <w:rPr/>
            </w:pPr>
            <w:r>
              <w:rPr>
                <w:rFonts w:cs="Calibri" w:ascii="Calibri" w:hAnsi="Calibri"/>
                <w:sz w:val="20"/>
                <w:szCs w:val="20"/>
              </w:rPr>
              <w:t xml:space="preserve">Pereira L.C.B. – Maravall, J.M – Przeworski, A, </w:t>
            </w:r>
            <w:r>
              <w:rPr>
                <w:rFonts w:cs="Calibri" w:ascii="Calibri" w:hAnsi="Calibri"/>
                <w:i/>
                <w:sz w:val="20"/>
                <w:szCs w:val="20"/>
              </w:rPr>
              <w:t xml:space="preserve">EconoMIC Reforms in New Democracies: a Social Democratic Approach, </w:t>
            </w:r>
            <w:r>
              <w:rPr>
                <w:rFonts w:cs="Calibri" w:ascii="Calibri" w:hAnsi="Calibri"/>
                <w:sz w:val="20"/>
                <w:szCs w:val="20"/>
              </w:rPr>
              <w:t>Cambridge: Cambridge University Press, 1993.</w:t>
            </w:r>
          </w:p>
          <w:p>
            <w:pPr>
              <w:pStyle w:val="Normal"/>
              <w:jc w:val="both"/>
              <w:rPr/>
            </w:pPr>
            <w:r>
              <w:rPr>
                <w:rFonts w:cs="Calibri" w:ascii="Calibri" w:hAnsi="Calibri"/>
                <w:sz w:val="20"/>
                <w:szCs w:val="20"/>
                <w:lang w:val="el-GR"/>
              </w:rPr>
              <w:t xml:space="preserve">Πεσμαζόγλου, Σ., </w:t>
            </w:r>
            <w:r>
              <w:rPr>
                <w:rFonts w:cs="Calibri" w:ascii="Calibri" w:hAnsi="Calibri"/>
                <w:i/>
                <w:sz w:val="20"/>
                <w:szCs w:val="20"/>
                <w:lang w:val="el-GR"/>
              </w:rPr>
              <w:t xml:space="preserve">«Βίοι παράλληλοι»  στον ευρωπαϊκό νότο. Οι πολιτικές δυνάμεις στην Πορτογαλία και την Ισπανία και η ευρωπαϊκή ολοκλήρωση, </w:t>
            </w:r>
            <w:r>
              <w:rPr>
                <w:rFonts w:cs="Calibri" w:ascii="Calibri" w:hAnsi="Calibri"/>
                <w:sz w:val="20"/>
                <w:szCs w:val="20"/>
                <w:lang w:val="el-GR"/>
              </w:rPr>
              <w:t>Θεσσαλονίκη: Εκδόσεις Επίκεντρο (Παρατηρητής, 1986).</w:t>
            </w:r>
            <w:r>
              <w:rPr>
                <w:rFonts w:cs="Calibri" w:ascii="Calibri" w:hAnsi="Calibri"/>
                <w:i/>
                <w:sz w:val="20"/>
                <w:szCs w:val="20"/>
                <w:lang w:val="el-GR"/>
              </w:rPr>
              <w:t xml:space="preserve"> </w:t>
            </w:r>
          </w:p>
          <w:p>
            <w:pPr>
              <w:pStyle w:val="Normal"/>
              <w:jc w:val="both"/>
              <w:rPr/>
            </w:pPr>
            <w:r>
              <w:rPr>
                <w:rFonts w:cs="Calibri" w:ascii="Calibri" w:hAnsi="Calibri"/>
                <w:sz w:val="20"/>
                <w:szCs w:val="20"/>
                <w:lang w:val="el-GR"/>
              </w:rPr>
              <w:t xml:space="preserve">Πουλαντζάς, Ν. , </w:t>
            </w:r>
            <w:r>
              <w:rPr>
                <w:rFonts w:cs="Calibri" w:ascii="Calibri" w:hAnsi="Calibri"/>
                <w:i/>
                <w:sz w:val="20"/>
                <w:szCs w:val="20"/>
                <w:lang w:val="el-GR"/>
              </w:rPr>
              <w:t>Η  κρίση των δικτατοριών. (Πορτογαλία,- Ελλάδα- Ισπανία),</w:t>
            </w:r>
            <w:r>
              <w:rPr>
                <w:rFonts w:cs="Calibri" w:ascii="Calibri" w:hAnsi="Calibri"/>
                <w:sz w:val="20"/>
                <w:szCs w:val="20"/>
                <w:lang w:val="el-GR"/>
              </w:rPr>
              <w:t xml:space="preserve"> Αθήνα: Εκδόσεις Παπαζήση,1975.</w:t>
            </w:r>
          </w:p>
          <w:p>
            <w:pPr>
              <w:pStyle w:val="Normal"/>
              <w:jc w:val="both"/>
              <w:rPr>
                <w:rFonts w:ascii="Calibri" w:hAnsi="Calibri" w:cs="Calibri"/>
                <w:sz w:val="20"/>
                <w:szCs w:val="20"/>
              </w:rPr>
            </w:pPr>
            <w:r>
              <w:rPr>
                <w:rFonts w:cs="Times" w:ascii="Calibri" w:hAnsi="Calibri"/>
                <w:sz w:val="20"/>
                <w:szCs w:val="20"/>
              </w:rPr>
              <w:t>Pridham, G. (ed.),</w:t>
            </w:r>
            <w:r>
              <w:rPr>
                <w:rFonts w:cs="Times" w:ascii="Calibri" w:hAnsi="Calibri"/>
                <w:i/>
                <w:sz w:val="20"/>
                <w:szCs w:val="20"/>
              </w:rPr>
              <w:t xml:space="preserve"> Encouraging Democracy: The International Context of Regime Transition in Southern Europe,</w:t>
            </w:r>
            <w:r>
              <w:rPr>
                <w:rFonts w:cs="Times" w:ascii="Calibri" w:hAnsi="Calibri"/>
                <w:sz w:val="20"/>
                <w:szCs w:val="20"/>
              </w:rPr>
              <w:t xml:space="preserve"> Leicester: Leicester University Press, 1991.</w:t>
            </w:r>
          </w:p>
          <w:p>
            <w:pPr>
              <w:pStyle w:val="Normal"/>
              <w:jc w:val="both"/>
              <w:rPr/>
            </w:pPr>
            <w:r>
              <w:rPr>
                <w:rFonts w:cs="Times" w:ascii="Calibri" w:hAnsi="Calibri"/>
                <w:sz w:val="20"/>
                <w:szCs w:val="20"/>
              </w:rPr>
              <w:t xml:space="preserve">Pridham, G. (ed.), </w:t>
            </w:r>
            <w:r>
              <w:rPr>
                <w:rFonts w:cs="Times" w:ascii="Calibri" w:hAnsi="Calibri"/>
                <w:i/>
                <w:sz w:val="20"/>
                <w:szCs w:val="20"/>
              </w:rPr>
              <w:t>Securing Democracy: Political Parties and Democratic Consolidation in Southern Europe,</w:t>
            </w:r>
            <w:r>
              <w:rPr>
                <w:rFonts w:cs="Times" w:ascii="Calibri" w:hAnsi="Calibri"/>
                <w:sz w:val="20"/>
                <w:szCs w:val="20"/>
              </w:rPr>
              <w:t xml:space="preserve"> London: Routledge, 1990. </w:t>
            </w:r>
          </w:p>
          <w:p>
            <w:pPr>
              <w:pStyle w:val="Normal"/>
              <w:jc w:val="both"/>
              <w:rPr/>
            </w:pPr>
            <w:r>
              <w:rPr>
                <w:rFonts w:cs="Times" w:ascii="Calibri" w:hAnsi="Calibri"/>
                <w:sz w:val="20"/>
                <w:szCs w:val="20"/>
              </w:rPr>
              <w:t xml:space="preserve">Pridham, G. (ed.), </w:t>
            </w:r>
            <w:r>
              <w:rPr>
                <w:rFonts w:cs="Times" w:ascii="Calibri" w:hAnsi="Calibri"/>
                <w:i/>
                <w:sz w:val="20"/>
                <w:szCs w:val="20"/>
              </w:rPr>
              <w:t xml:space="preserve">The New Mediterranean Democracies: Regime Transition in Spain, Greece and Portugal, </w:t>
            </w:r>
            <w:r>
              <w:rPr>
                <w:rFonts w:cs="Times" w:ascii="Calibri" w:hAnsi="Calibri"/>
                <w:sz w:val="20"/>
                <w:szCs w:val="20"/>
              </w:rPr>
              <w:t>London: Frank Cass, 1984.</w:t>
            </w:r>
          </w:p>
          <w:p>
            <w:pPr>
              <w:pStyle w:val="Normal"/>
              <w:jc w:val="both"/>
              <w:rPr/>
            </w:pPr>
            <w:r>
              <w:rPr>
                <w:rFonts w:cs="Times" w:ascii="Calibri" w:hAnsi="Calibri"/>
                <w:sz w:val="20"/>
                <w:szCs w:val="20"/>
              </w:rPr>
              <w:t xml:space="preserve">Pridham, G –Lewis, P.G., </w:t>
            </w:r>
            <w:r>
              <w:rPr>
                <w:rFonts w:cs="Times" w:ascii="Calibri" w:hAnsi="Calibri"/>
                <w:i/>
                <w:sz w:val="20"/>
                <w:szCs w:val="20"/>
              </w:rPr>
              <w:t>Stabilizing Fragile Democracies: Comparing New Party Systems in Southern and Eastern Europe</w:t>
            </w:r>
            <w:r>
              <w:rPr>
                <w:rFonts w:cs="Times" w:ascii="Calibri" w:hAnsi="Calibri"/>
                <w:sz w:val="20"/>
                <w:szCs w:val="20"/>
              </w:rPr>
              <w:t>, London: Routledge, 1996.</w:t>
            </w:r>
          </w:p>
          <w:p>
            <w:pPr>
              <w:pStyle w:val="Normal"/>
              <w:jc w:val="both"/>
              <w:rPr/>
            </w:pPr>
            <w:r>
              <w:rPr>
                <w:rFonts w:cs="Calibri" w:ascii="Calibri" w:hAnsi="Calibri"/>
                <w:sz w:val="20"/>
                <w:szCs w:val="20"/>
              </w:rPr>
              <w:t xml:space="preserve">Ribas- Mateos, N., </w:t>
            </w:r>
            <w:r>
              <w:rPr>
                <w:rFonts w:cs="Calibri" w:ascii="Calibri" w:hAnsi="Calibri"/>
                <w:i/>
                <w:sz w:val="20"/>
                <w:szCs w:val="20"/>
              </w:rPr>
              <w:t>The Mediterranean in the age of globalization: migration, welfare, and borders</w:t>
            </w:r>
            <w:r>
              <w:rPr>
                <w:rFonts w:cs="Calibri" w:ascii="Calibri" w:hAnsi="Calibri"/>
                <w:sz w:val="20"/>
                <w:szCs w:val="20"/>
              </w:rPr>
              <w:t>, London: Transaction Publishers , 2005. Academy of Athens</w:t>
            </w:r>
          </w:p>
          <w:p>
            <w:pPr>
              <w:pStyle w:val="Normal"/>
              <w:jc w:val="both"/>
              <w:rPr>
                <w:rFonts w:ascii="Calibri" w:hAnsi="Calibri" w:cs="Calibri"/>
                <w:sz w:val="20"/>
                <w:szCs w:val="20"/>
                <w:lang w:eastAsia="el-GR"/>
              </w:rPr>
            </w:pPr>
            <w:r>
              <w:rPr>
                <w:rFonts w:cs="Calibri" w:ascii="Calibri" w:hAnsi="Calibri"/>
                <w:sz w:val="20"/>
                <w:szCs w:val="20"/>
              </w:rPr>
              <w:t>Sapelli, G</w:t>
            </w:r>
            <w:r>
              <w:rPr>
                <w:rFonts w:cs="Calibri" w:ascii="Calibri" w:hAnsi="Calibri"/>
                <w:i/>
                <w:sz w:val="20"/>
                <w:szCs w:val="20"/>
              </w:rPr>
              <w:t xml:space="preserve"> , Southern Europe since 1945 : tradition and modernity in Portugal, Spain, Italy, Greece and Turkey, </w:t>
            </w:r>
            <w:r>
              <w:rPr>
                <w:rFonts w:cs="Calibri" w:ascii="Calibri" w:hAnsi="Calibri"/>
                <w:sz w:val="20"/>
                <w:szCs w:val="20"/>
              </w:rPr>
              <w:t>London  : Longman, 1995,</w:t>
            </w:r>
          </w:p>
          <w:p>
            <w:pPr>
              <w:pStyle w:val="Normal"/>
              <w:jc w:val="both"/>
              <w:rPr/>
            </w:pPr>
            <w:r>
              <w:rPr>
                <w:rFonts w:cs="Times" w:ascii="Calibri" w:hAnsi="Calibri"/>
                <w:sz w:val="20"/>
                <w:szCs w:val="20"/>
                <w:lang w:val="el-GR"/>
              </w:rPr>
              <w:t>Σεϊμένης, Γ. (επιμέλεια), Μεσόγειος στον 21ο αιώνα : προβλήματα και προοπτικές : πρακτικα ημερίδας / Πανεπιστήμιο Αιγαίου. Εργαστήριο</w:t>
            </w:r>
            <w:r>
              <w:rPr>
                <w:rFonts w:cs="Times" w:ascii="Calibri" w:hAnsi="Calibri"/>
                <w:sz w:val="20"/>
                <w:szCs w:val="20"/>
              </w:rPr>
              <w:t xml:space="preserve"> </w:t>
            </w:r>
            <w:r>
              <w:rPr>
                <w:rFonts w:cs="Times" w:ascii="Calibri" w:hAnsi="Calibri"/>
                <w:sz w:val="20"/>
                <w:szCs w:val="20"/>
                <w:lang w:val="el-GR"/>
              </w:rPr>
              <w:t>Μεσογειακής</w:t>
            </w:r>
            <w:r>
              <w:rPr>
                <w:rFonts w:cs="Times" w:ascii="Calibri" w:hAnsi="Calibri"/>
                <w:sz w:val="20"/>
                <w:szCs w:val="20"/>
              </w:rPr>
              <w:t xml:space="preserve"> </w:t>
            </w:r>
            <w:r>
              <w:rPr>
                <w:rFonts w:cs="Times" w:ascii="Calibri" w:hAnsi="Calibri"/>
                <w:sz w:val="20"/>
                <w:szCs w:val="20"/>
                <w:lang w:val="el-GR"/>
              </w:rPr>
              <w:t>Πολιτικής</w:t>
            </w:r>
            <w:r>
              <w:rPr>
                <w:rFonts w:cs="Times" w:ascii="Calibri" w:hAnsi="Calibri"/>
                <w:sz w:val="20"/>
                <w:szCs w:val="20"/>
              </w:rPr>
              <w:t xml:space="preserve">. </w:t>
            </w:r>
            <w:r>
              <w:rPr>
                <w:rFonts w:cs="Times" w:ascii="Calibri" w:hAnsi="Calibri"/>
                <w:sz w:val="20"/>
                <w:szCs w:val="20"/>
                <w:lang w:val="el-GR"/>
              </w:rPr>
              <w:t>ΒΙΒΛΙΟΘΗΚΗ</w:t>
            </w:r>
            <w:r>
              <w:rPr>
                <w:rFonts w:cs="Times" w:ascii="Calibri" w:hAnsi="Calibri"/>
                <w:sz w:val="20"/>
                <w:szCs w:val="20"/>
              </w:rPr>
              <w:t>: 960-431-824-1.</w:t>
            </w:r>
          </w:p>
          <w:p>
            <w:pPr>
              <w:pStyle w:val="Normal"/>
              <w:autoSpaceDE w:val="false"/>
              <w:jc w:val="both"/>
              <w:rPr/>
            </w:pPr>
            <w:r>
              <w:rPr>
                <w:rFonts w:cs="Calibri" w:ascii="Calibri" w:hAnsi="Calibri"/>
                <w:sz w:val="20"/>
                <w:szCs w:val="20"/>
              </w:rPr>
              <w:t xml:space="preserve">Stavridis, S. </w:t>
            </w:r>
            <w:r>
              <w:rPr>
                <w:rFonts w:cs="Calibri" w:ascii="Calibri" w:hAnsi="Calibri"/>
                <w:i/>
                <w:sz w:val="20"/>
                <w:szCs w:val="20"/>
              </w:rPr>
              <w:t>et al</w:t>
            </w:r>
            <w:r>
              <w:rPr>
                <w:rFonts w:cs="Calibri" w:ascii="Calibri" w:hAnsi="Calibri"/>
                <w:sz w:val="20"/>
                <w:szCs w:val="20"/>
              </w:rPr>
              <w:t xml:space="preserve">.  (eds.) </w:t>
            </w:r>
            <w:r>
              <w:rPr>
                <w:rFonts w:cs="Calibri" w:ascii="Calibri" w:hAnsi="Calibri"/>
                <w:i/>
                <w:iCs/>
                <w:sz w:val="20"/>
                <w:szCs w:val="20"/>
              </w:rPr>
              <w:t>The Foreign Policies of the</w:t>
            </w:r>
            <w:r>
              <w:rPr>
                <w:rFonts w:cs="Calibri" w:ascii="Calibri" w:hAnsi="Calibri"/>
                <w:sz w:val="20"/>
                <w:szCs w:val="20"/>
              </w:rPr>
              <w:t xml:space="preserve"> </w:t>
            </w:r>
            <w:r>
              <w:rPr>
                <w:rFonts w:cs="Calibri" w:ascii="Calibri" w:hAnsi="Calibri"/>
                <w:i/>
                <w:iCs/>
                <w:sz w:val="20"/>
                <w:szCs w:val="20"/>
              </w:rPr>
              <w:t>European Union's Mediterranean States and Applicant Countries in the 1990s</w:t>
            </w:r>
            <w:r>
              <w:rPr>
                <w:rFonts w:cs="Calibri" w:ascii="Calibri" w:hAnsi="Calibri"/>
                <w:sz w:val="20"/>
                <w:szCs w:val="20"/>
              </w:rPr>
              <w:t xml:space="preserve"> Basingstoke: Macmillan 1999. </w:t>
            </w:r>
          </w:p>
          <w:p>
            <w:pPr>
              <w:pStyle w:val="Normal"/>
              <w:jc w:val="both"/>
              <w:rPr/>
            </w:pPr>
            <w:r>
              <w:rPr>
                <w:rFonts w:cs="Times" w:ascii="Calibri" w:hAnsi="Calibri"/>
                <w:sz w:val="20"/>
                <w:szCs w:val="20"/>
                <w:lang w:val="el-GR"/>
              </w:rPr>
              <w:t xml:space="preserve">Σωτηρόπουλος, Δημήτρης, </w:t>
            </w:r>
            <w:r>
              <w:rPr>
                <w:rFonts w:cs="Times" w:ascii="Calibri" w:hAnsi="Calibri"/>
                <w:i/>
                <w:sz w:val="20"/>
                <w:szCs w:val="20"/>
                <w:lang w:val="el-GR"/>
              </w:rPr>
              <w:t>Κράτος και μεταρρύθμιση στη  σύγχρονη Νότια Ευρώπη, Ελλάδα, Ισπανία, Ιταλία, Πορτογαλία,</w:t>
            </w:r>
            <w:r>
              <w:rPr>
                <w:rFonts w:cs="Times" w:ascii="Calibri" w:hAnsi="Calibri"/>
                <w:sz w:val="20"/>
                <w:szCs w:val="20"/>
                <w:lang w:val="el-GR"/>
              </w:rPr>
              <w:t xml:space="preserve"> Αθήνα: Ποταμός 2008.</w:t>
            </w:r>
          </w:p>
          <w:p>
            <w:pPr>
              <w:pStyle w:val="Normal"/>
              <w:jc w:val="both"/>
              <w:rPr/>
            </w:pPr>
            <w:r>
              <w:rPr>
                <w:rFonts w:cs="Times" w:ascii="Calibri" w:hAnsi="Calibri"/>
                <w:sz w:val="20"/>
                <w:szCs w:val="20"/>
              </w:rPr>
              <w:t xml:space="preserve">Wiarda, H., </w:t>
            </w:r>
            <w:r>
              <w:rPr>
                <w:rFonts w:cs="Times" w:ascii="Calibri" w:hAnsi="Calibri"/>
                <w:i/>
                <w:sz w:val="20"/>
                <w:szCs w:val="20"/>
              </w:rPr>
              <w:t xml:space="preserve">The Transition to Democracy in Spain and Portugal, </w:t>
            </w:r>
            <w:r>
              <w:rPr>
                <w:rFonts w:cs="Times" w:ascii="Calibri" w:hAnsi="Calibri"/>
                <w:sz w:val="20"/>
                <w:szCs w:val="20"/>
              </w:rPr>
              <w:t>Washington DC: American Enterprise Institute, 1989.</w:t>
            </w:r>
          </w:p>
          <w:p>
            <w:pPr>
              <w:pStyle w:val="Normal"/>
              <w:autoSpaceDE w:val="false"/>
              <w:jc w:val="both"/>
              <w:rPr/>
            </w:pPr>
            <w:r>
              <w:rPr>
                <w:rFonts w:cs="Calibri" w:ascii="Calibri" w:hAnsi="Calibri"/>
                <w:sz w:val="20"/>
                <w:szCs w:val="20"/>
              </w:rPr>
              <w:t xml:space="preserve">Williams, A. M. (ed.), </w:t>
            </w:r>
            <w:r>
              <w:rPr>
                <w:rFonts w:cs="Calibri" w:ascii="Calibri" w:hAnsi="Calibri"/>
                <w:i/>
                <w:sz w:val="20"/>
                <w:szCs w:val="20"/>
              </w:rPr>
              <w:t>Southern Europe Transformed</w:t>
            </w:r>
            <w:r>
              <w:rPr>
                <w:rFonts w:cs="Calibri" w:ascii="Calibri" w:hAnsi="Calibri"/>
                <w:sz w:val="20"/>
                <w:szCs w:val="20"/>
              </w:rPr>
              <w:t>. London</w:t>
            </w:r>
            <w:r>
              <w:rPr>
                <w:rFonts w:cs="Calibri" w:ascii="Calibri" w:hAnsi="Calibri"/>
                <w:sz w:val="20"/>
                <w:szCs w:val="20"/>
                <w:lang w:val="el-GR"/>
              </w:rPr>
              <w:t xml:space="preserve">: </w:t>
            </w:r>
            <w:r>
              <w:rPr>
                <w:rFonts w:cs="Calibri" w:ascii="Calibri" w:hAnsi="Calibri"/>
                <w:sz w:val="20"/>
                <w:szCs w:val="20"/>
              </w:rPr>
              <w:t>Harper</w:t>
            </w:r>
            <w:r>
              <w:rPr>
                <w:rFonts w:cs="Calibri" w:ascii="Calibri" w:hAnsi="Calibri"/>
                <w:sz w:val="20"/>
                <w:szCs w:val="20"/>
                <w:lang w:val="el-GR"/>
              </w:rPr>
              <w:t xml:space="preserve"> &amp; </w:t>
            </w:r>
            <w:r>
              <w:rPr>
                <w:rFonts w:cs="Calibri" w:ascii="Calibri" w:hAnsi="Calibri"/>
                <w:sz w:val="20"/>
                <w:szCs w:val="20"/>
              </w:rPr>
              <w:t>Row</w:t>
            </w:r>
            <w:r>
              <w:rPr>
                <w:rFonts w:cs="Calibri" w:ascii="Calibri" w:hAnsi="Calibri"/>
                <w:sz w:val="20"/>
                <w:szCs w:val="20"/>
                <w:lang w:val="el-GR"/>
              </w:rPr>
              <w:t>, 1984.</w:t>
            </w:r>
          </w:p>
          <w:p>
            <w:pPr>
              <w:pStyle w:val="Normal"/>
              <w:autoSpaceDE w:val="false"/>
              <w:jc w:val="both"/>
              <w:rPr/>
            </w:pPr>
            <w:r>
              <w:rPr>
                <w:rFonts w:eastAsia="Calibri" w:cs="Calibri" w:ascii="Calibri" w:hAnsi="Calibri"/>
                <w:sz w:val="20"/>
                <w:szCs w:val="20"/>
                <w:lang w:val="el-GR"/>
              </w:rPr>
              <w:t xml:space="preserve"> </w:t>
            </w:r>
            <w:r>
              <w:rPr>
                <w:rFonts w:cs="Calibri" w:ascii="Calibri" w:hAnsi="Calibri"/>
                <w:sz w:val="20"/>
                <w:szCs w:val="20"/>
              </w:rPr>
              <w:t>Yves</w:t>
            </w:r>
            <w:r>
              <w:rPr>
                <w:rFonts w:cs="Calibri" w:ascii="Calibri" w:hAnsi="Calibri"/>
                <w:sz w:val="20"/>
                <w:szCs w:val="20"/>
                <w:lang w:val="el-GR"/>
              </w:rPr>
              <w:t xml:space="preserve">, </w:t>
            </w:r>
            <w:r>
              <w:rPr>
                <w:rFonts w:cs="Calibri" w:ascii="Calibri" w:hAnsi="Calibri"/>
                <w:sz w:val="20"/>
                <w:szCs w:val="20"/>
              </w:rPr>
              <w:t>M</w:t>
            </w:r>
            <w:r>
              <w:rPr>
                <w:rFonts w:cs="Calibri" w:ascii="Calibri" w:hAnsi="Calibri"/>
                <w:sz w:val="20"/>
                <w:szCs w:val="20"/>
                <w:lang w:val="el-GR"/>
              </w:rPr>
              <w:t xml:space="preserve">., </w:t>
            </w:r>
            <w:r>
              <w:rPr>
                <w:rFonts w:cs="Calibri" w:ascii="Calibri" w:hAnsi="Calibri"/>
                <w:i/>
                <w:sz w:val="20"/>
                <w:szCs w:val="20"/>
                <w:lang w:val="el-GR"/>
              </w:rPr>
              <w:t>Οι δημοκρατίες Γαλλία, Γερμανία, Ηνωμένες Πολιτείες, Ιταλία, Μεγάλη Βρετανία,</w:t>
            </w:r>
            <w:r>
              <w:rPr>
                <w:rFonts w:cs="Calibri" w:ascii="Calibri" w:hAnsi="Calibri"/>
                <w:sz w:val="20"/>
                <w:szCs w:val="20"/>
                <w:lang w:val="el-GR"/>
              </w:rPr>
              <w:t xml:space="preserve"> Αθήνα: Εκδόσεις Παπαζήση, 1996.</w:t>
            </w:r>
          </w:p>
          <w:p>
            <w:pPr>
              <w:pStyle w:val="Normal"/>
              <w:autoSpaceDE w:val="false"/>
              <w:jc w:val="both"/>
              <w:rPr/>
            </w:pPr>
            <w:r>
              <w:rPr>
                <w:rFonts w:cs="Calibri" w:ascii="Calibri" w:hAnsi="Calibri"/>
                <w:sz w:val="20"/>
                <w:szCs w:val="20"/>
              </w:rPr>
              <w:t xml:space="preserve">Ziegenhagen, e. – K. Koutsoukis (eds), </w:t>
            </w:r>
            <w:r>
              <w:rPr>
                <w:rFonts w:cs="Calibri" w:ascii="Calibri" w:hAnsi="Calibri"/>
                <w:i/>
                <w:sz w:val="20"/>
                <w:szCs w:val="20"/>
              </w:rPr>
              <w:t xml:space="preserve">Political conflict in southern Europe: regulation, regression, and morphogenesis, </w:t>
            </w:r>
            <w:r>
              <w:rPr>
                <w:rFonts w:cs="Calibri" w:ascii="Calibri" w:hAnsi="Calibri"/>
                <w:sz w:val="20"/>
                <w:szCs w:val="20"/>
              </w:rPr>
              <w:t>New York: Praeger, 1992.</w:t>
            </w:r>
          </w:p>
          <w:p>
            <w:pPr>
              <w:pStyle w:val="Normal"/>
              <w:spacing w:lineRule="auto" w:line="276" w:before="0" w:after="200"/>
              <w:contextualSpacing/>
              <w:jc w:val="both"/>
              <w:rPr>
                <w:rFonts w:ascii="Calibri" w:hAnsi="Calibri" w:cs="Arial"/>
                <w:i/>
                <w:i/>
                <w:sz w:val="20"/>
                <w:szCs w:val="20"/>
              </w:rPr>
            </w:pPr>
            <w:r>
              <w:rPr>
                <w:rFonts w:cs="Arial" w:ascii="Calibri" w:hAnsi="Calibri"/>
                <w:i/>
                <w:sz w:val="20"/>
                <w:szCs w:val="20"/>
              </w:rPr>
            </w:r>
          </w:p>
          <w:p>
            <w:pPr>
              <w:pStyle w:val="Normal"/>
              <w:jc w:val="both"/>
              <w:rPr>
                <w:rFonts w:ascii="Calibri" w:hAnsi="Calibri" w:cs="Arial"/>
                <w:i/>
                <w:i/>
                <w:sz w:val="20"/>
                <w:szCs w:val="20"/>
                <w:lang w:val="en-GB"/>
              </w:rPr>
            </w:pPr>
            <w:r>
              <w:rPr>
                <w:rFonts w:cs="Arial" w:ascii="Calibri" w:hAnsi="Calibri"/>
                <w:i/>
                <w:sz w:val="20"/>
                <w:szCs w:val="20"/>
                <w:lang w:val="en-GB"/>
              </w:rPr>
              <w:t xml:space="preserve">- </w:t>
            </w:r>
            <w:r>
              <w:rPr>
                <w:rFonts w:cs="Arial" w:ascii="Calibri" w:hAnsi="Calibri"/>
                <w:b/>
                <w:i/>
                <w:sz w:val="20"/>
                <w:szCs w:val="20"/>
                <w:lang w:val="en-GB"/>
              </w:rPr>
              <w:t>Related academic journals:</w:t>
            </w:r>
          </w:p>
          <w:p>
            <w:pPr>
              <w:pStyle w:val="Normal"/>
              <w:tabs>
                <w:tab w:val="left" w:pos="1828" w:leader="none"/>
              </w:tabs>
              <w:jc w:val="both"/>
              <w:rPr/>
            </w:pPr>
            <w:r>
              <w:rPr>
                <w:rStyle w:val="StrongEmphasis"/>
                <w:rFonts w:cs="Calibri" w:ascii="Calibri" w:hAnsi="Calibri"/>
                <w:b w:val="false"/>
                <w:i/>
                <w:sz w:val="20"/>
                <w:szCs w:val="20"/>
              </w:rPr>
              <w:t>Comparative political studies</w:t>
            </w:r>
            <w:r>
              <w:rPr>
                <w:rFonts w:cs="Calibri" w:ascii="Calibri" w:hAnsi="Calibri"/>
                <w:b/>
                <w:i/>
                <w:sz w:val="20"/>
                <w:szCs w:val="20"/>
              </w:rPr>
              <w:t xml:space="preserve"> </w:t>
            </w:r>
            <w:r>
              <w:rPr>
                <w:rFonts w:cs="Calibri" w:ascii="Calibri" w:hAnsi="Calibri"/>
                <w:i/>
                <w:sz w:val="20"/>
                <w:szCs w:val="20"/>
              </w:rPr>
              <w:t> </w:t>
            </w:r>
          </w:p>
          <w:p>
            <w:pPr>
              <w:pStyle w:val="Normal"/>
              <w:jc w:val="both"/>
              <w:rPr>
                <w:rFonts w:ascii="Calibri" w:hAnsi="Calibri" w:cs="Calibri"/>
                <w:i/>
                <w:i/>
                <w:sz w:val="20"/>
                <w:szCs w:val="20"/>
              </w:rPr>
            </w:pPr>
            <w:r>
              <w:rPr>
                <w:rFonts w:cs="Calibri" w:ascii="Calibri" w:hAnsi="Calibri"/>
                <w:i/>
                <w:sz w:val="20"/>
                <w:szCs w:val="20"/>
              </w:rPr>
              <w:t>The International Spectator</w:t>
            </w:r>
          </w:p>
          <w:p>
            <w:pPr>
              <w:pStyle w:val="Normal"/>
              <w:jc w:val="both"/>
              <w:rPr>
                <w:rFonts w:ascii="Calibri" w:hAnsi="Calibri" w:cs="Calibri"/>
                <w:i/>
                <w:i/>
                <w:sz w:val="20"/>
                <w:szCs w:val="20"/>
              </w:rPr>
            </w:pPr>
            <w:r>
              <w:rPr>
                <w:rFonts w:cs="Calibri" w:ascii="Calibri" w:hAnsi="Calibri"/>
                <w:i/>
                <w:sz w:val="20"/>
                <w:szCs w:val="20"/>
              </w:rPr>
              <w:t>Mediterranean Quarterly</w:t>
            </w:r>
          </w:p>
          <w:p>
            <w:pPr>
              <w:pStyle w:val="Normal"/>
              <w:jc w:val="both"/>
              <w:rPr>
                <w:rFonts w:ascii="Calibri" w:hAnsi="Calibri" w:cs="Calibri"/>
                <w:i/>
                <w:i/>
                <w:sz w:val="20"/>
                <w:szCs w:val="20"/>
              </w:rPr>
            </w:pPr>
            <w:r>
              <w:rPr>
                <w:rFonts w:cs="Calibri" w:ascii="Calibri" w:hAnsi="Calibri"/>
                <w:i/>
                <w:sz w:val="20"/>
                <w:szCs w:val="20"/>
              </w:rPr>
              <w:t xml:space="preserve">Mediterranean Politics </w:t>
            </w:r>
          </w:p>
          <w:p>
            <w:pPr>
              <w:pStyle w:val="Normal"/>
              <w:jc w:val="both"/>
              <w:rPr>
                <w:rFonts w:ascii="Calibri" w:hAnsi="Calibri" w:cs="Calibri"/>
                <w:i/>
                <w:i/>
                <w:sz w:val="20"/>
                <w:szCs w:val="20"/>
                <w:lang w:val="en-GB"/>
              </w:rPr>
            </w:pPr>
            <w:r>
              <w:rPr>
                <w:rFonts w:cs="Calibri" w:ascii="Calibri" w:hAnsi="Calibri"/>
                <w:i/>
                <w:sz w:val="20"/>
                <w:szCs w:val="20"/>
                <w:lang w:val="en-GB"/>
              </w:rPr>
              <w:t xml:space="preserve">South European Society and Politics </w:t>
            </w:r>
          </w:p>
          <w:p>
            <w:pPr>
              <w:pStyle w:val="Normal"/>
              <w:numPr>
                <w:ilvl w:val="0"/>
                <w:numId w:val="0"/>
              </w:numPr>
              <w:jc w:val="both"/>
              <w:outlineLvl w:val="0"/>
              <w:rPr>
                <w:rFonts w:ascii="Calibri" w:hAnsi="Calibri" w:cs="Calibri"/>
                <w:bCs/>
                <w:kern w:val="2"/>
                <w:sz w:val="20"/>
                <w:szCs w:val="20"/>
                <w:lang w:eastAsia="el-GR"/>
              </w:rPr>
            </w:pPr>
            <w:r>
              <w:rPr>
                <w:rFonts w:cs="Calibri" w:ascii="Calibri" w:hAnsi="Calibri"/>
                <w:i/>
                <w:sz w:val="20"/>
                <w:szCs w:val="20"/>
                <w:lang w:val="en-GB"/>
              </w:rPr>
              <w:t xml:space="preserve">Southeast European and Black Sea Studies  </w:t>
            </w:r>
          </w:p>
          <w:p>
            <w:pPr>
              <w:pStyle w:val="Normal"/>
              <w:jc w:val="both"/>
              <w:rPr>
                <w:rFonts w:ascii="Calibri" w:hAnsi="Calibri" w:eastAsia="Calibri" w:cs="Arial"/>
                <w:sz w:val="20"/>
                <w:szCs w:val="20"/>
              </w:rPr>
            </w:pPr>
            <w:r>
              <w:rPr>
                <w:rFonts w:eastAsia="Calibri" w:cs="Calibri" w:ascii="Calibri" w:hAnsi="Calibri"/>
                <w:sz w:val="20"/>
                <w:szCs w:val="20"/>
                <w:lang w:val="en-GB"/>
              </w:rPr>
              <w:t xml:space="preserve"> </w:t>
            </w:r>
          </w:p>
        </w:tc>
      </w:tr>
    </w:tbl>
    <w:p>
      <w:pPr>
        <w:pStyle w:val="Normal"/>
        <w:jc w:val="both"/>
        <w:rPr>
          <w:rFonts w:ascii="Calibri" w:hAnsi="Calibri" w:cs="Calibri"/>
          <w:sz w:val="20"/>
          <w:szCs w:val="20"/>
        </w:rPr>
      </w:pPr>
      <w:r>
        <w:rPr>
          <w:rFonts w:cs="Calibri" w:ascii="Calibri" w:hAnsi="Calibri"/>
          <w:sz w:val="20"/>
          <w:szCs w:val="20"/>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Calibri">
    <w:charset w:val="a1"/>
    <w:family w:val="swiss"/>
    <w:pitch w:val="variable"/>
  </w:font>
  <w:font w:name="Courier New">
    <w:charset w:val="a1"/>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0"/>
        <w:b/>
        <w:szCs w:val="20"/>
        <w:rFonts w:ascii="Calibri" w:hAnsi="Calibri" w:cs="Times New Roman"/>
        <w:lang w:val="en-GB"/>
      </w:rPr>
    </w:lvl>
  </w:abstractNum>
  <w:abstractNum w:abstractNumId="3">
    <w:lvl w:ilvl="0">
      <w:start w:val="1"/>
      <w:numFmt w:val="bullet"/>
      <w:lvlText w:val=""/>
      <w:lvlJc w:val="left"/>
      <w:pPr>
        <w:ind w:left="1174" w:hanging="360"/>
      </w:pPr>
      <w:rPr>
        <w:rFonts w:ascii="Symbol" w:hAnsi="Symbol" w:cs="Symbol" w:hint="default"/>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TextBody"/>
    <w:qFormat/>
    <w:pPr>
      <w:numPr>
        <w:ilvl w:val="0"/>
        <w:numId w:val="1"/>
      </w:numPr>
      <w:spacing w:before="280" w:after="280"/>
      <w:outlineLvl w:val="0"/>
    </w:pPr>
    <w:rPr>
      <w:b/>
      <w:bCs/>
      <w:kern w:val="2"/>
      <w:sz w:val="48"/>
      <w:szCs w:val="48"/>
      <w:lang w:val="el-GR"/>
    </w:rPr>
  </w:style>
  <w:style w:type="character" w:styleId="WW8Num1z0">
    <w:name w:val="WW8Num1z0"/>
    <w:qFormat/>
    <w:rPr>
      <w:rFonts w:ascii="Calibri" w:hAnsi="Calibri" w:cs="Times New Roman"/>
      <w:b/>
      <w:sz w:val="20"/>
      <w:szCs w:val="20"/>
      <w:lang w:val="en-GB"/>
    </w:rPr>
  </w:style>
  <w:style w:type="character" w:styleId="WW8Num1z1">
    <w:name w:val="WW8Num1z1"/>
    <w:qFormat/>
    <w:rPr>
      <w:rFonts w:cs="Times New Roma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3">
    <w:name w:val="Προεπιλεγμένη γραμματοσειρά"/>
    <w:qFormat/>
    <w:rPr/>
  </w:style>
  <w:style w:type="character" w:styleId="Char">
    <w:name w:val="Κείμενο υποσημείωσης Char"/>
    <w:qFormat/>
    <w:rPr>
      <w:rFonts w:ascii="Times New Roman" w:hAnsi="Times New Roman" w:eastAsia="Times New Roman" w:cs="Times New Roman"/>
      <w:sz w:val="20"/>
      <w:szCs w:val="20"/>
      <w:lang w:val="en-US"/>
    </w:rPr>
  </w:style>
  <w:style w:type="character" w:styleId="InternetLink">
    <w:name w:val="Internet Link"/>
    <w:rPr>
      <w:color w:val="0000FF"/>
      <w:u w:val="single"/>
    </w:rPr>
  </w:style>
  <w:style w:type="character" w:styleId="1Char">
    <w:name w:val="Επικεφαλίδα 1 Char"/>
    <w:qFormat/>
    <w:rPr>
      <w:rFonts w:ascii="Times New Roman" w:hAnsi="Times New Roman" w:eastAsia="Times New Roman" w:cs="Times New Roman"/>
      <w:b/>
      <w:bCs/>
      <w:kern w:val="2"/>
      <w:sz w:val="48"/>
      <w:szCs w:val="48"/>
    </w:rPr>
  </w:style>
  <w:style w:type="character" w:styleId="Pissn">
    <w:name w:val="pissn"/>
    <w:basedOn w:val="Style13"/>
    <w:qFormat/>
    <w:rPr/>
  </w:style>
  <w:style w:type="character" w:styleId="Eissn">
    <w:name w:val="eissn"/>
    <w:basedOn w:val="Style13"/>
    <w:qFormat/>
    <w:rPr/>
  </w:style>
  <w:style w:type="character" w:styleId="Titleheading6">
    <w:name w:val="titleheading6"/>
    <w:basedOn w:val="Style13"/>
    <w:qFormat/>
    <w:rPr/>
  </w:style>
  <w:style w:type="character" w:styleId="StrongEmphasis">
    <w:name w:val="Strong Emphasis"/>
    <w:qFormat/>
    <w:rPr>
      <w:rFonts w:cs="Times New Roman"/>
      <w:b/>
      <w:bC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tyle14">
    <w:name w:val="Παράγραφος λίστας"/>
    <w:basedOn w:val="Normal"/>
    <w:qFormat/>
    <w:pPr>
      <w:spacing w:before="0" w:after="0"/>
      <w:ind w:left="720" w:hanging="0"/>
      <w:contextualSpacing/>
    </w:pPr>
    <w:rPr/>
  </w:style>
  <w:style w:type="paragraph" w:styleId="Footnote">
    <w:name w:val="Footnote Text"/>
    <w:basedOn w:val="Normal"/>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mazon.co.uk/Political-Economy-Euro-Mediterranean-Relations-Neighbourhood-ebook/dp/B013KJCGNG/ref=sr_1_sc_1?ie=UTF8&amp;qid=1444828741&amp;sr=8-1-spell&amp;keywords=Kourterlis" TargetMode="External"/><Relationship Id="rId3" Type="http://schemas.openxmlformats.org/officeDocument/2006/relationships/hyperlink" Target="http://www.amazon.co.uk/Political-Economy-Euro-Mediterranean-Relations-Neighbourhood-ebook/dp/B013KJCGNG/ref=sr_1_sc_1?ie=UTF8&amp;qid=1444828741&amp;sr=8-1-spell&amp;keywords=Kourterli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TotalTime>
  <Application>LibreOffice/5.4.2.2$Linux_X86_64 LibreOffice_project/40m0$Build-2</Application>
  <Pages>2</Pages>
  <Words>1734</Words>
  <Characters>10975</Characters>
  <CharactersWithSpaces>12620</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2017-09-13T20:26:00Z</dcterms:created>
  <dc:creator>Tsaliki Katerina</dc:creator>
  <dc:description/>
  <dc:language>en-US</dc:language>
  <cp:lastModifiedBy>Xalkia Sofia</cp:lastModifiedBy>
  <dcterms:modified xsi:type="dcterms:W3CDTF">2017-10-12T08:50:00Z</dcterms:modified>
  <cp:revision>11</cp:revision>
  <dc:subject/>
  <dc:title/>
</cp:coreProperties>
</file>