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libri Light" w:hAnsi="Calibri Light" w:cs="Arial"/>
          <w:lang w:val="en-GB"/>
        </w:rPr>
      </w:pPr>
      <w:r>
        <w:rPr>
          <w:rFonts w:cs="Arial" w:ascii="Calibri Light" w:hAnsi="Calibri Light"/>
          <w:b/>
          <w:lang w:val="en-GB"/>
        </w:rPr>
        <w:t>COURSE OUTLINE</w:t>
      </w:r>
    </w:p>
    <w:p>
      <w:pPr>
        <w:pStyle w:val="Normal"/>
        <w:widowControl w:val="false"/>
        <w:numPr>
          <w:ilvl w:val="0"/>
          <w:numId w:val="1"/>
        </w:numPr>
        <w:autoSpaceDE w:val="false"/>
        <w:spacing w:lineRule="auto" w:line="276" w:before="120" w:after="200"/>
        <w:ind w:left="357" w:hanging="357"/>
        <w:rPr/>
      </w:pPr>
      <w:r>
        <w:rPr/>
        <w:t>GENERAL</w:t>
      </w:r>
    </w:p>
    <w:tbl>
      <w:tblPr>
        <w:tblW w:w="844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05"/>
        <w:gridCol w:w="1135"/>
        <w:gridCol w:w="1297"/>
        <w:gridCol w:w="1208"/>
        <w:gridCol w:w="351"/>
        <w:gridCol w:w="1250"/>
      </w:tblGrid>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SCHOOL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SCHOOL OF HUMANITIES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ACADEMIC UNIT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DEPARTMENT OF MEDITERRANEAN STUDIES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LEVEL OF STUDIES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UNDERGRADUATE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CODE</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Arial"/>
                <w:b/>
                <w:b/>
                <w:sz w:val="20"/>
                <w:szCs w:val="20"/>
                <w:lang w:val="el-GR"/>
              </w:rPr>
            </w:pPr>
            <w:r>
              <w:rPr>
                <w:rFonts w:cs="Arial" w:ascii="Calibri Light" w:hAnsi="Calibri Light"/>
                <w:b/>
                <w:sz w:val="20"/>
                <w:szCs w:val="20"/>
                <w:lang w:val="el-GR"/>
              </w:rPr>
              <w:t>ΓΥΕ-21</w:t>
            </w:r>
          </w:p>
        </w:tc>
        <w:tc>
          <w:tcPr>
            <w:tcW w:w="2505"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SEMESTER</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b/>
                <w:b/>
                <w:sz w:val="20"/>
                <w:szCs w:val="20"/>
                <w:lang w:val="en-GB"/>
              </w:rPr>
            </w:pPr>
            <w:r>
              <w:rPr>
                <w:rFonts w:cs="Arial" w:ascii="Calibri Light" w:hAnsi="Calibri Light"/>
                <w:b/>
                <w:sz w:val="20"/>
                <w:szCs w:val="20"/>
                <w:lang w:val="en-GB"/>
              </w:rPr>
              <w:t>B</w:t>
            </w:r>
          </w:p>
        </w:tc>
      </w:tr>
      <w:tr>
        <w:trPr>
          <w:trHeight w:val="375"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TITLE</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Light" w:hAnsi="Calibri Light" w:cs="Arial"/>
                <w:sz w:val="20"/>
                <w:szCs w:val="20"/>
                <w:lang w:val="en-GB"/>
              </w:rPr>
            </w:pPr>
            <w:r>
              <w:rPr>
                <w:rFonts w:cs="Arial" w:ascii="Calibri Light" w:hAnsi="Calibri Light"/>
                <w:sz w:val="20"/>
                <w:szCs w:val="20"/>
                <w:lang w:val="en-GB"/>
              </w:rPr>
              <w:t>APPROACHES TO SOCIOLINGUISTICS</w:t>
            </w:r>
          </w:p>
        </w:tc>
      </w:tr>
      <w:tr>
        <w:trPr>
          <w:trHeight w:val="196"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 xml:space="preserve">INDEPENDENT TEACHING ACTIVITIES </w:t>
              <w:br/>
            </w:r>
            <w:r>
              <w:rPr>
                <w:rFonts w:cs="Arial" w:ascii="Calibri Light" w:hAnsi="Calibri Light"/>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WEEKLY TEACHING HOURS</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CREDITS</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Arial" w:ascii="Calibri Light" w:hAnsi="Calibri Light"/>
                <w:color w:val="002060"/>
                <w:sz w:val="20"/>
                <w:szCs w:val="20"/>
                <w:lang w:val="en-GB"/>
              </w:rPr>
              <w:t>3</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Arial" w:ascii="Calibri Light" w:hAnsi="Calibri Light"/>
                <w:color w:val="002060"/>
                <w:sz w:val="20"/>
                <w:szCs w:val="20"/>
                <w:lang w:val="en-GB"/>
              </w:rPr>
              <w:t>3</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rPr>
                <w:rFonts w:ascii="Calibri Light" w:hAnsi="Calibri Light" w:cs="Arial"/>
                <w:i/>
                <w:i/>
                <w:sz w:val="18"/>
                <w:szCs w:val="18"/>
                <w:lang w:val="en-GB"/>
              </w:rPr>
            </w:pPr>
            <w:r>
              <w:rPr>
                <w:rFonts w:cs="Arial" w:ascii="Calibri Light" w:hAnsi="Calibri Light"/>
                <w:i/>
                <w:sz w:val="18"/>
                <w:szCs w:val="18"/>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i/>
                <w:i/>
                <w:color w:val="002060"/>
                <w:sz w:val="20"/>
                <w:szCs w:val="20"/>
                <w:lang w:val="en-GB"/>
              </w:rPr>
            </w:pPr>
            <w:r>
              <w:rPr>
                <w:rFonts w:cs="Arial" w:ascii="Calibri Light" w:hAnsi="Calibri Light"/>
                <w:i/>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599"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Light" w:hAnsi="Calibri Light"/>
                <w:b/>
                <w:sz w:val="20"/>
                <w:szCs w:val="20"/>
                <w:lang w:val="en-GB"/>
              </w:rPr>
              <w:t>COURSE TYPE</w:t>
            </w:r>
            <w:r>
              <w:rPr>
                <w:rFonts w:cs="Arial" w:ascii="Calibri Light" w:hAnsi="Calibri Light"/>
                <w:i/>
                <w:sz w:val="16"/>
                <w:szCs w:val="16"/>
                <w:lang w:val="en-GB"/>
              </w:rPr>
              <w:t xml:space="preserve"> </w:t>
            </w:r>
          </w:p>
          <w:p>
            <w:pPr>
              <w:pStyle w:val="Normal"/>
              <w:jc w:val="right"/>
              <w:rPr>
                <w:rFonts w:ascii="Calibri Light" w:hAnsi="Calibri Light" w:cs="Arial"/>
                <w:b/>
                <w:b/>
                <w:sz w:val="20"/>
                <w:szCs w:val="20"/>
                <w:lang w:val="en-GB"/>
              </w:rPr>
            </w:pPr>
            <w:r>
              <w:rPr>
                <w:rFonts w:cs="Arial" w:ascii="Calibri Light" w:hAnsi="Calibri Light"/>
                <w:i/>
                <w:sz w:val="16"/>
                <w:szCs w:val="16"/>
                <w:lang w:val="en-GB"/>
              </w:rPr>
              <w:t xml:space="preserve">general background, </w:t>
              <w:br/>
              <w:t>special background, specialised general knowledge, skills development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rPr>
            </w:pPr>
            <w:r>
              <w:rPr>
                <w:rFonts w:cs="Arial" w:ascii="Calibri Light" w:hAnsi="Calibri Light"/>
                <w:color w:val="002060"/>
                <w:sz w:val="20"/>
                <w:szCs w:val="20"/>
                <w:lang w:val="en-GB"/>
              </w:rPr>
              <w:t xml:space="preserve">SPECIALISED GENERAL </w:t>
            </w:r>
            <w:r>
              <w:rPr>
                <w:rFonts w:cs="Arial" w:ascii="Calibri Light" w:hAnsi="Calibri Light"/>
                <w:color w:val="002060"/>
                <w:sz w:val="20"/>
                <w:szCs w:val="20"/>
              </w:rPr>
              <w:t>KNOWLWDGE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PREREQUISITE COURSES:</w:t>
            </w:r>
          </w:p>
          <w:p>
            <w:pPr>
              <w:pStyle w:val="Normal"/>
              <w:jc w:val="right"/>
              <w:rPr>
                <w:rFonts w:ascii="Calibri Light" w:hAnsi="Calibri Light" w:cs="Arial"/>
                <w:b/>
                <w:b/>
                <w:sz w:val="20"/>
                <w:szCs w:val="20"/>
                <w:lang w:val="en-GB"/>
              </w:rPr>
            </w:pPr>
            <w:r>
              <w:rPr>
                <w:rFonts w:cs="Arial" w:ascii="Calibri Light" w:hAnsi="Calibri Light"/>
                <w:b/>
                <w:sz w:val="20"/>
                <w:szCs w:val="20"/>
                <w:lang w:val="en-GB"/>
              </w:rPr>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NONE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LANGUAGE OF INSTRUCTION and EXAMINATIONS: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GREEK</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IS THE COURSE OFFERED TO ERASMUS STUDENTS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WEBSITE (URL)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Light" w:hAnsi="Calibri Light" w:eastAsia="Calibri" w:cs="Arial"/>
                <w:color w:val="002060"/>
                <w:sz w:val="20"/>
                <w:szCs w:val="20"/>
                <w:lang w:val="en-GB"/>
              </w:rPr>
            </w:pPr>
            <w:r>
              <w:rPr>
                <w:rFonts w:eastAsia="Calibri" w:cs="Arial" w:ascii="Calibri Light" w:hAnsi="Calibri Light"/>
                <w:color w:val="002060"/>
                <w:sz w:val="20"/>
                <w:szCs w:val="20"/>
                <w:lang w:val="en-GB"/>
              </w:rPr>
              <w:t>https://eclass.aegean.gr/modules/auth/courses.php?fc=83</w:t>
            </w:r>
          </w:p>
        </w:tc>
      </w:tr>
    </w:tbl>
    <w:p>
      <w:pPr>
        <w:pStyle w:val="Normal"/>
        <w:widowControl w:val="false"/>
        <w:numPr>
          <w:ilvl w:val="0"/>
          <w:numId w:val="1"/>
        </w:numPr>
        <w:autoSpaceDE w:val="false"/>
        <w:spacing w:lineRule="auto" w:line="276" w:before="120" w:after="200"/>
        <w:ind w:left="357" w:hanging="357"/>
        <w:rPr/>
      </w:pPr>
      <w:r>
        <w:rPr/>
        <w:t>LEARNING OUTCOMES</w:t>
      </w:r>
    </w:p>
    <w:tbl>
      <w:tblPr>
        <w:tblW w:w="8532" w:type="dxa"/>
        <w:jc w:val="left"/>
        <w:tblInd w:w="-113"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4059"/>
        <w:gridCol w:w="4473"/>
      </w:tblGrid>
      <w:tr>
        <w:trPr/>
        <w:tc>
          <w:tcPr>
            <w:tcW w:w="853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i/>
                <w:i/>
                <w:sz w:val="16"/>
                <w:szCs w:val="16"/>
                <w:lang w:val="en-GB"/>
              </w:rPr>
            </w:pPr>
            <w:r>
              <w:rPr>
                <w:rFonts w:cs="Arial" w:ascii="Calibri Light" w:hAnsi="Calibri Light"/>
                <w:b/>
                <w:sz w:val="20"/>
                <w:szCs w:val="20"/>
                <w:lang w:val="en-GB"/>
              </w:rPr>
              <w:t>Learning outcomes</w:t>
            </w:r>
          </w:p>
        </w:tc>
      </w:tr>
      <w:tr>
        <w:trPr/>
        <w:tc>
          <w:tcPr>
            <w:tcW w:w="853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The course learning outcomes, specific knowledge, skills and competences of an appropriate level, which the students will acquire with the successful completion of the course are described.</w:t>
            </w:r>
          </w:p>
          <w:p>
            <w:pPr>
              <w:pStyle w:val="Normal"/>
              <w:autoSpaceDE w:val="false"/>
              <w:rPr>
                <w:rFonts w:ascii="Calibri Light" w:hAnsi="Calibri Light" w:cs="Arial"/>
                <w:i/>
                <w:i/>
                <w:sz w:val="16"/>
                <w:szCs w:val="16"/>
                <w:lang w:val="en-GB"/>
              </w:rPr>
            </w:pPr>
            <w:r>
              <w:rPr>
                <w:rFonts w:cs="Arial" w:ascii="Calibri Light" w:hAnsi="Calibri Light"/>
                <w:i/>
                <w:sz w:val="16"/>
                <w:szCs w:val="16"/>
                <w:lang w:val="en-GB"/>
              </w:rPr>
              <w:t xml:space="preserve">Consult Appendix A </w:t>
            </w:r>
          </w:p>
          <w:p>
            <w:pPr>
              <w:pStyle w:val="Normal"/>
              <w:widowControl w:val="false"/>
              <w:numPr>
                <w:ilvl w:val="0"/>
                <w:numId w:val="3"/>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Description of the level of learning outcomes for each qualifications cycle, according to the Qualifications Framework of the European Higher Education Area</w:t>
            </w:r>
          </w:p>
          <w:p>
            <w:pPr>
              <w:pStyle w:val="Normal"/>
              <w:widowControl w:val="false"/>
              <w:numPr>
                <w:ilvl w:val="0"/>
                <w:numId w:val="3"/>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Descriptors for Levels 6, 7 &amp; 8 of the European Qualifications Framework for Lifelong Learning and Appendix B</w:t>
            </w:r>
          </w:p>
          <w:p>
            <w:pPr>
              <w:pStyle w:val="Normal"/>
              <w:widowControl w:val="false"/>
              <w:numPr>
                <w:ilvl w:val="0"/>
                <w:numId w:val="3"/>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 xml:space="preserve">Guidelines for writing Learning Outcomes </w:t>
            </w:r>
          </w:p>
        </w:tc>
      </w:tr>
      <w:tr>
        <w:trPr/>
        <w:tc>
          <w:tcPr>
            <w:tcW w:w="8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rPr>
                <w:rFonts w:ascii="Calibri" w:hAnsi="Calibri" w:eastAsia="Calibri" w:cs="Calibri"/>
                <w:b/>
                <w:b/>
                <w:i/>
                <w:i/>
                <w:color w:val="002060"/>
                <w:sz w:val="16"/>
                <w:szCs w:val="16"/>
                <w:lang w:val="en-GB"/>
              </w:rPr>
            </w:pPr>
            <w:r>
              <w:rPr>
                <w:rFonts w:eastAsia="Calibri" w:cs="Calibri" w:ascii="Calibri" w:hAnsi="Calibri"/>
                <w:b/>
                <w:i/>
                <w:color w:val="002060"/>
                <w:sz w:val="16"/>
                <w:szCs w:val="16"/>
                <w:lang w:val="en-GB"/>
              </w:rPr>
            </w:r>
          </w:p>
          <w:p>
            <w:pPr>
              <w:pStyle w:val="Normal"/>
              <w:widowControl w:val="false"/>
              <w:autoSpaceDE w:val="false"/>
              <w:rPr>
                <w:rFonts w:ascii="Calibri" w:hAnsi="Calibri" w:eastAsia="Calibri" w:cs="Calibri"/>
                <w:b/>
                <w:b/>
                <w:color w:val="002060"/>
              </w:rPr>
            </w:pPr>
            <w:r>
              <w:rPr>
                <w:rFonts w:eastAsia="Calibri" w:cs="Calibri" w:ascii="Calibri" w:hAnsi="Calibri"/>
                <w:b/>
                <w:color w:val="002060"/>
              </w:rPr>
            </w:r>
          </w:p>
          <w:p>
            <w:pPr>
              <w:pStyle w:val="Default"/>
              <w:rPr>
                <w:rFonts w:ascii="Times New Roman" w:hAnsi="Times New Roman" w:cs="Times New Roman"/>
                <w:lang w:val="en-US"/>
              </w:rPr>
            </w:pPr>
            <w:r>
              <w:rPr>
                <w:rFonts w:cs="Times New Roman" w:ascii="Times New Roman" w:hAnsi="Times New Roman"/>
                <w:lang w:val="en-US"/>
              </w:rPr>
              <w:t xml:space="preserve">1. To understand the framework of sociolinguistic and ethnographic research </w:t>
            </w:r>
          </w:p>
          <w:p>
            <w:pPr>
              <w:pStyle w:val="Default"/>
              <w:rPr/>
            </w:pPr>
            <w:r>
              <w:rPr>
                <w:rFonts w:cs="Times New Roman" w:ascii="Times New Roman" w:hAnsi="Times New Roman"/>
                <w:lang w:val="en-US"/>
              </w:rPr>
              <w:t>2. To understand elaborate paradigms of sociolinguistic research</w:t>
            </w:r>
          </w:p>
          <w:p>
            <w:pPr>
              <w:pStyle w:val="Default"/>
              <w:rPr>
                <w:rFonts w:ascii="Times New Roman" w:hAnsi="Times New Roman" w:cs="Times New Roman"/>
                <w:lang w:val="en-US"/>
              </w:rPr>
            </w:pPr>
            <w:r>
              <w:rPr>
                <w:rFonts w:cs="Times New Roman" w:ascii="Times New Roman" w:hAnsi="Times New Roman"/>
                <w:lang w:val="en-US"/>
              </w:rPr>
              <w:t xml:space="preserve">3. To be able to collect, analyze and compare sociolinguistic data </w:t>
            </w:r>
          </w:p>
          <w:p>
            <w:pPr>
              <w:pStyle w:val="Default"/>
              <w:rPr>
                <w:rFonts w:ascii="Times New Roman" w:hAnsi="Times New Roman" w:cs="Times New Roman"/>
                <w:lang w:val="en-US"/>
              </w:rPr>
            </w:pPr>
            <w:r>
              <w:rPr>
                <w:rFonts w:cs="Times New Roman" w:ascii="Times New Roman" w:hAnsi="Times New Roman"/>
                <w:lang w:val="en-US"/>
              </w:rPr>
              <w:t>4. To be able to write and present a sociolinguistic paper</w:t>
            </w:r>
          </w:p>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r>
          </w:p>
        </w:tc>
      </w:tr>
      <w:tr>
        <w:trPr/>
        <w:tc>
          <w:tcPr>
            <w:tcW w:w="853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b/>
                <w:b/>
                <w:sz w:val="20"/>
                <w:szCs w:val="20"/>
                <w:lang w:val="en-GB"/>
              </w:rPr>
            </w:pPr>
            <w:r>
              <w:rPr>
                <w:rFonts w:cs="Arial" w:ascii="Calibri Light" w:hAnsi="Calibri Light"/>
                <w:b/>
                <w:sz w:val="20"/>
                <w:szCs w:val="20"/>
                <w:lang w:val="en-GB"/>
              </w:rPr>
              <w:t xml:space="preserve">General Competences </w:t>
            </w:r>
          </w:p>
        </w:tc>
      </w:tr>
      <w:tr>
        <w:trPr/>
        <w:tc>
          <w:tcPr>
            <w:tcW w:w="8532" w:type="dxa"/>
            <w:gridSpan w:val="2"/>
            <w:tcBorders>
              <w:left w:val="single" w:sz="4" w:space="0" w:color="000000"/>
              <w:right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Taking into consideration the general competences that the degree-holder must acquire (as these appear in the Diploma Supplement and appear below), at which of the following does the course aim?</w:t>
            </w:r>
          </w:p>
        </w:tc>
      </w:tr>
      <w:tr>
        <w:trPr/>
        <w:tc>
          <w:tcPr>
            <w:tcW w:w="4059" w:type="dxa"/>
            <w:tcBorders>
              <w:left w:val="single" w:sz="4" w:space="0" w:color="000000"/>
              <w:bottom w:val="single" w:sz="4" w:space="0" w:color="000000"/>
              <w:insideH w:val="single" w:sz="4" w:space="0" w:color="000000"/>
            </w:tcBorders>
            <w:shd w:fill="D0CECE" w:val="clear"/>
            <w:tcMar>
              <w:left w:w="103" w:type="dxa"/>
            </w:tcM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Search for, analysis and synthesis of data and information, with the use of the necessary technology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Adapting to new situations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Decision-making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independently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Team work</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international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interdisciplinary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Production of new research ideas </w:t>
            </w:r>
          </w:p>
        </w:tc>
        <w:tc>
          <w:tcPr>
            <w:tcW w:w="4473" w:type="dxa"/>
            <w:tcBorders>
              <w:bottom w:val="single" w:sz="4" w:space="0" w:color="000000"/>
              <w:right w:val="single" w:sz="4" w:space="0" w:color="000000"/>
              <w:insideH w:val="single" w:sz="4" w:space="0" w:color="000000"/>
              <w:insideV w:val="single" w:sz="4" w:space="0" w:color="000000"/>
            </w:tcBorders>
            <w:shd w:fill="D0CECE" w:val="cle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Project planning and management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difference and multiculturalism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the natural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Showing social, professional and ethical responsibility and sensitivity to gender issues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Criticism and self-criticism </w:t>
            </w:r>
          </w:p>
          <w:p>
            <w:pPr>
              <w:pStyle w:val="Normal"/>
              <w:rPr>
                <w:rFonts w:ascii="Calibri Light" w:hAnsi="Calibri Light" w:cs="Arial"/>
                <w:i/>
                <w:i/>
                <w:sz w:val="16"/>
                <w:szCs w:val="16"/>
                <w:lang w:val="en-GB"/>
              </w:rPr>
            </w:pPr>
            <w:r>
              <w:rPr>
                <w:rFonts w:cs="Arial" w:ascii="Calibri Light" w:hAnsi="Calibri Light"/>
                <w:i/>
                <w:sz w:val="16"/>
                <w:szCs w:val="16"/>
                <w:lang w:val="en-GB"/>
              </w:rPr>
              <w:t>Production of free, creative and inductive thinking</w:t>
            </w:r>
          </w:p>
          <w:p>
            <w:pPr>
              <w:pStyle w:val="Normal"/>
              <w:rPr>
                <w:rFonts w:ascii="Calibri Light" w:hAnsi="Calibri Light" w:cs="Arial"/>
                <w:i/>
                <w:i/>
                <w:sz w:val="16"/>
                <w:szCs w:val="16"/>
                <w:lang w:val="en-GB"/>
              </w:rPr>
            </w:pPr>
            <w:r>
              <w:rPr>
                <w:rFonts w:cs="Arial" w:ascii="Calibri Light" w:hAnsi="Calibri Light"/>
                <w:i/>
                <w:sz w:val="16"/>
                <w:szCs w:val="16"/>
                <w:lang w:val="en-GB"/>
              </w:rPr>
              <w:t>……</w:t>
            </w:r>
          </w:p>
          <w:p>
            <w:pPr>
              <w:pStyle w:val="Normal"/>
              <w:rPr>
                <w:rFonts w:ascii="Calibri Light" w:hAnsi="Calibri Light" w:cs="Arial"/>
                <w:i/>
                <w:i/>
                <w:sz w:val="16"/>
                <w:szCs w:val="16"/>
                <w:lang w:val="en-GB"/>
              </w:rPr>
            </w:pPr>
            <w:r>
              <w:rPr>
                <w:rFonts w:cs="Arial" w:ascii="Calibri Light" w:hAnsi="Calibri Light"/>
                <w:i/>
                <w:sz w:val="16"/>
                <w:szCs w:val="16"/>
                <w:lang w:val="en-GB"/>
              </w:rPr>
              <w:t>Others…</w:t>
            </w:r>
          </w:p>
          <w:p>
            <w:pPr>
              <w:pStyle w:val="Normal"/>
              <w:rPr>
                <w:rFonts w:ascii="Calibri Light" w:hAnsi="Calibri Light" w:cs="Arial"/>
                <w:b/>
                <w:b/>
                <w:sz w:val="20"/>
                <w:szCs w:val="20"/>
                <w:lang w:val="en-GB"/>
              </w:rPr>
            </w:pPr>
            <w:r>
              <w:rPr>
                <w:rFonts w:cs="Arial" w:ascii="Calibri Light" w:hAnsi="Calibri Light"/>
                <w:i/>
                <w:sz w:val="16"/>
                <w:szCs w:val="16"/>
                <w:lang w:val="en-GB"/>
              </w:rPr>
              <w:t>……</w:t>
            </w:r>
            <w:r>
              <w:rPr>
                <w:rFonts w:cs="Arial" w:ascii="Calibri Light" w:hAnsi="Calibri Light"/>
                <w:i/>
                <w:sz w:val="16"/>
                <w:szCs w:val="16"/>
                <w:lang w:val="en-GB"/>
              </w:rPr>
              <w:t>.</w:t>
            </w:r>
          </w:p>
        </w:tc>
      </w:tr>
      <w:tr>
        <w:trPr/>
        <w:tc>
          <w:tcPr>
            <w:tcW w:w="8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b/>
                <w:b/>
                <w:sz w:val="20"/>
                <w:szCs w:val="20"/>
                <w:lang w:val="en-GB"/>
              </w:rPr>
            </w:pPr>
            <w:r>
              <w:rPr>
                <w:rFonts w:cs="Arial" w:ascii="Calibri Light" w:hAnsi="Calibri Light"/>
                <w:b/>
                <w:sz w:val="20"/>
                <w:szCs w:val="20"/>
                <w:lang w:val="en-GB"/>
              </w:rPr>
            </w:r>
          </w:p>
          <w:tbl>
            <w:tblPr>
              <w:tblW w:w="8472" w:type="dxa"/>
              <w:jc w:val="left"/>
              <w:tblInd w:w="0" w:type="dxa"/>
              <w:tblBorders/>
              <w:tblCellMar>
                <w:top w:w="0" w:type="dxa"/>
                <w:left w:w="108" w:type="dxa"/>
                <w:bottom w:w="0" w:type="dxa"/>
                <w:right w:w="108" w:type="dxa"/>
              </w:tblCellMar>
            </w:tblPr>
            <w:tblGrid>
              <w:gridCol w:w="3964"/>
              <w:gridCol w:w="4508"/>
            </w:tblGrid>
            <w:tr>
              <w:trPr/>
              <w:tc>
                <w:tcPr>
                  <w:tcW w:w="3964" w:type="dxa"/>
                  <w:tcBorders/>
                  <w:shd w:fill="FFFFFF" w:val="clear"/>
                </w:tcPr>
                <w:p>
                  <w:pPr>
                    <w:pStyle w:val="Style15"/>
                    <w:widowControl w:val="false"/>
                    <w:numPr>
                      <w:ilvl w:val="0"/>
                      <w:numId w:val="2"/>
                    </w:numPr>
                    <w:autoSpaceDE w:val="false"/>
                    <w:rPr>
                      <w:lang w:val="en-GB"/>
                    </w:rPr>
                  </w:pPr>
                  <w:r>
                    <w:rPr>
                      <w:lang w:val="en-GB"/>
                    </w:rPr>
                    <w:t xml:space="preserve">Search for, analysis and synthesis of data and information, with the use of the necessary technology </w:t>
                  </w:r>
                </w:p>
                <w:p>
                  <w:pPr>
                    <w:pStyle w:val="Style15"/>
                    <w:widowControl w:val="false"/>
                    <w:numPr>
                      <w:ilvl w:val="0"/>
                      <w:numId w:val="2"/>
                    </w:numPr>
                    <w:autoSpaceDE w:val="false"/>
                    <w:rPr>
                      <w:lang w:val="en-GB"/>
                    </w:rPr>
                  </w:pPr>
                  <w:r>
                    <w:rPr>
                      <w:lang w:val="en-GB"/>
                    </w:rPr>
                    <w:t xml:space="preserve">Adapting to new situations </w:t>
                  </w:r>
                </w:p>
                <w:p>
                  <w:pPr>
                    <w:pStyle w:val="Style15"/>
                    <w:widowControl w:val="false"/>
                    <w:numPr>
                      <w:ilvl w:val="0"/>
                      <w:numId w:val="2"/>
                    </w:numPr>
                    <w:autoSpaceDE w:val="false"/>
                    <w:rPr>
                      <w:lang w:val="en-GB"/>
                    </w:rPr>
                  </w:pPr>
                  <w:r>
                    <w:rPr>
                      <w:lang w:val="en-GB"/>
                    </w:rPr>
                    <w:t xml:space="preserve">Decision-making </w:t>
                  </w:r>
                </w:p>
                <w:p>
                  <w:pPr>
                    <w:pStyle w:val="Style15"/>
                    <w:widowControl w:val="false"/>
                    <w:numPr>
                      <w:ilvl w:val="0"/>
                      <w:numId w:val="2"/>
                    </w:numPr>
                    <w:autoSpaceDE w:val="false"/>
                    <w:rPr>
                      <w:lang w:val="en-GB"/>
                    </w:rPr>
                  </w:pPr>
                  <w:r>
                    <w:rPr>
                      <w:lang w:val="en-GB"/>
                    </w:rPr>
                    <w:t xml:space="preserve">Working independently </w:t>
                  </w:r>
                </w:p>
                <w:p>
                  <w:pPr>
                    <w:pStyle w:val="Style15"/>
                    <w:widowControl w:val="false"/>
                    <w:numPr>
                      <w:ilvl w:val="0"/>
                      <w:numId w:val="2"/>
                    </w:numPr>
                    <w:autoSpaceDE w:val="false"/>
                    <w:rPr>
                      <w:lang w:val="en-GB"/>
                    </w:rPr>
                  </w:pPr>
                  <w:r>
                    <w:rPr>
                      <w:lang w:val="en-GB"/>
                    </w:rPr>
                    <w:t>Team work</w:t>
                  </w:r>
                </w:p>
                <w:p>
                  <w:pPr>
                    <w:pStyle w:val="Style15"/>
                    <w:widowControl w:val="false"/>
                    <w:numPr>
                      <w:ilvl w:val="0"/>
                      <w:numId w:val="2"/>
                    </w:numPr>
                    <w:autoSpaceDE w:val="false"/>
                    <w:rPr>
                      <w:lang w:val="en-GB"/>
                    </w:rPr>
                  </w:pPr>
                  <w:r>
                    <w:rPr>
                      <w:lang w:val="en-GB"/>
                    </w:rPr>
                    <w:t xml:space="preserve">Working in an interdisciplinary environment </w:t>
                  </w:r>
                </w:p>
                <w:p>
                  <w:pPr>
                    <w:pStyle w:val="Style15"/>
                    <w:widowControl w:val="false"/>
                    <w:numPr>
                      <w:ilvl w:val="0"/>
                      <w:numId w:val="2"/>
                    </w:numPr>
                    <w:autoSpaceDE w:val="false"/>
                    <w:rPr>
                      <w:lang w:val="en-GB"/>
                    </w:rPr>
                  </w:pPr>
                  <w:r>
                    <w:rPr>
                      <w:lang w:val="en-GB"/>
                    </w:rPr>
                    <w:t xml:space="preserve">Production of new research ideas </w:t>
                  </w:r>
                </w:p>
              </w:tc>
              <w:tc>
                <w:tcPr>
                  <w:tcW w:w="4508" w:type="dxa"/>
                  <w:tcBorders/>
                  <w:shd w:fill="FFFFFF" w:val="clear"/>
                </w:tcPr>
                <w:p>
                  <w:pPr>
                    <w:pStyle w:val="Normal"/>
                    <w:widowControl w:val="false"/>
                    <w:autoSpaceDE w:val="false"/>
                    <w:rPr>
                      <w:lang w:val="en-GB"/>
                    </w:rPr>
                  </w:pPr>
                  <w:r>
                    <w:rPr>
                      <w:lang w:val="en-GB"/>
                    </w:rPr>
                    <w:t xml:space="preserve"> </w:t>
                  </w:r>
                </w:p>
                <w:p>
                  <w:pPr>
                    <w:pStyle w:val="Style15"/>
                    <w:widowControl w:val="false"/>
                    <w:numPr>
                      <w:ilvl w:val="0"/>
                      <w:numId w:val="2"/>
                    </w:numPr>
                    <w:autoSpaceDE w:val="false"/>
                    <w:rPr>
                      <w:lang w:val="en-GB"/>
                    </w:rPr>
                  </w:pPr>
                  <w:r>
                    <w:rPr>
                      <w:lang w:val="en-GB"/>
                    </w:rPr>
                    <w:t xml:space="preserve">Respect for difference and multiculturalism  </w:t>
                  </w:r>
                </w:p>
                <w:p>
                  <w:pPr>
                    <w:pStyle w:val="Style15"/>
                    <w:widowControl w:val="false"/>
                    <w:numPr>
                      <w:ilvl w:val="0"/>
                      <w:numId w:val="2"/>
                    </w:numPr>
                    <w:autoSpaceDE w:val="false"/>
                    <w:rPr>
                      <w:lang w:val="en-GB"/>
                    </w:rPr>
                  </w:pPr>
                  <w:r>
                    <w:rPr>
                      <w:lang w:val="en-GB"/>
                    </w:rPr>
                    <w:t xml:space="preserve">Showing social, professional and ethical responsibility and sensitivity to gender issues </w:t>
                  </w:r>
                </w:p>
                <w:p>
                  <w:pPr>
                    <w:pStyle w:val="Style15"/>
                    <w:widowControl w:val="false"/>
                    <w:numPr>
                      <w:ilvl w:val="0"/>
                      <w:numId w:val="2"/>
                    </w:numPr>
                    <w:autoSpaceDE w:val="false"/>
                    <w:rPr>
                      <w:lang w:val="en-GB"/>
                    </w:rPr>
                  </w:pPr>
                  <w:r>
                    <w:rPr>
                      <w:lang w:val="en-GB"/>
                    </w:rPr>
                    <w:t xml:space="preserve">Criticism and self-criticism </w:t>
                  </w:r>
                </w:p>
                <w:p>
                  <w:pPr>
                    <w:pStyle w:val="Style15"/>
                    <w:numPr>
                      <w:ilvl w:val="0"/>
                      <w:numId w:val="2"/>
                    </w:numPr>
                    <w:rPr>
                      <w:lang w:val="en-GB"/>
                    </w:rPr>
                  </w:pPr>
                  <w:r>
                    <w:rPr>
                      <w:lang w:val="en-GB"/>
                    </w:rPr>
                    <w:t>Production of free, creative and inductive thinking</w:t>
                  </w:r>
                </w:p>
                <w:p>
                  <w:pPr>
                    <w:pStyle w:val="Normal"/>
                    <w:ind w:left="360" w:hanging="0"/>
                    <w:rPr>
                      <w:lang w:val="en-GB"/>
                    </w:rPr>
                  </w:pPr>
                  <w:r>
                    <w:rPr>
                      <w:lang w:val="en-GB"/>
                    </w:rPr>
                  </w:r>
                </w:p>
              </w:tc>
            </w:tr>
          </w:tbl>
          <w:p>
            <w:pPr>
              <w:pStyle w:val="Normal"/>
              <w:rPr>
                <w:rFonts w:ascii="Calibri" w:hAnsi="Calibri" w:cs="Arial"/>
                <w:color w:val="002060"/>
                <w:sz w:val="20"/>
                <w:szCs w:val="20"/>
              </w:rPr>
            </w:pPr>
            <w:r>
              <w:rPr>
                <w:rFonts w:cs="Arial" w:ascii="Calibri" w:hAnsi="Calibri"/>
                <w:color w:val="002060"/>
                <w:sz w:val="20"/>
                <w:szCs w:val="20"/>
              </w:rPr>
            </w:r>
          </w:p>
          <w:p>
            <w:pPr>
              <w:pStyle w:val="Normal"/>
              <w:widowControl w:val="false"/>
              <w:autoSpaceDE w:val="false"/>
              <w:rPr>
                <w:rFonts w:ascii="Calibri" w:hAnsi="Calibri" w:eastAsia="Calibri" w:cs="Calibri"/>
                <w:color w:val="002060"/>
                <w:sz w:val="20"/>
                <w:szCs w:val="20"/>
              </w:rPr>
            </w:pPr>
            <w:r>
              <w:rPr>
                <w:rFonts w:eastAsia="Calibri" w:cs="Calibri" w:ascii="Calibri" w:hAnsi="Calibri"/>
                <w:color w:val="002060"/>
                <w:sz w:val="20"/>
                <w:szCs w:val="2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spacing w:before="0" w:after="60"/>
              <w:rPr>
                <w:rFonts w:ascii="Calibri Light" w:hAnsi="Calibri Light" w:eastAsia="Calibri" w:cs="Arial"/>
                <w:i/>
                <w:i/>
                <w:color w:val="002060"/>
                <w:sz w:val="16"/>
                <w:szCs w:val="16"/>
                <w:lang w:val="en-GB"/>
              </w:rPr>
            </w:pPr>
            <w:r>
              <w:rPr>
                <w:rFonts w:eastAsia="Calibri" w:cs="Arial" w:ascii="Calibri Light" w:hAnsi="Calibri Light"/>
                <w:i/>
                <w:color w:val="002060"/>
                <w:sz w:val="16"/>
                <w:szCs w:val="16"/>
                <w:lang w:val="en-GB"/>
              </w:rPr>
            </w:r>
          </w:p>
        </w:tc>
      </w:tr>
    </w:tbl>
    <w:p>
      <w:pPr>
        <w:pStyle w:val="Normal"/>
        <w:widowControl w:val="false"/>
        <w:numPr>
          <w:ilvl w:val="0"/>
          <w:numId w:val="1"/>
        </w:numPr>
        <w:autoSpaceDE w:val="false"/>
        <w:spacing w:lineRule="auto" w:line="276" w:before="120" w:after="200"/>
        <w:ind w:left="357" w:hanging="357"/>
        <w:rPr/>
      </w:pPr>
      <w:r>
        <w:rPr/>
        <w:t>SYLLABUS</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spacing w:before="0" w:after="0"/>
              <w:jc w:val="both"/>
              <w:rPr>
                <w:sz w:val="24"/>
                <w:szCs w:val="24"/>
              </w:rPr>
            </w:pPr>
            <w:r>
              <w:rPr>
                <w:sz w:val="24"/>
                <w:szCs w:val="24"/>
              </w:rPr>
              <w:t xml:space="preserve">This course presents three mainstream sociolinguistic approaches: variationist sociolinguistics, interactional sociolinguistics and linguistic anthropology. It focuses on current sociolinguistic methodology as well as questions of theory. It also focuses on the selection of informants and data collection techniques as well as the interpretation of results both within quantitative and qualitative paradigms.   </w:t>
            </w:r>
          </w:p>
          <w:p>
            <w:pPr>
              <w:pStyle w:val="TextBody"/>
              <w:spacing w:before="0" w:after="0"/>
              <w:jc w:val="both"/>
              <w:rPr>
                <w:sz w:val="24"/>
                <w:szCs w:val="24"/>
              </w:rPr>
            </w:pPr>
            <w:r>
              <w:rPr>
                <w:sz w:val="24"/>
                <w:szCs w:val="24"/>
              </w:rPr>
            </w:r>
          </w:p>
          <w:p>
            <w:pPr>
              <w:pStyle w:val="TextBody"/>
              <w:spacing w:before="0" w:after="0"/>
              <w:jc w:val="both"/>
              <w:rPr>
                <w:sz w:val="24"/>
                <w:szCs w:val="24"/>
              </w:rPr>
            </w:pPr>
            <w:r>
              <w:rPr>
                <w:b/>
                <w:sz w:val="24"/>
                <w:szCs w:val="24"/>
              </w:rPr>
              <w:t>Key words</w:t>
            </w:r>
            <w:r>
              <w:rPr>
                <w:sz w:val="24"/>
                <w:szCs w:val="24"/>
              </w:rPr>
              <w:t xml:space="preserve">: sociolinguistics, interactional sociolinguistics, linguistic anthropology, variation and language change </w:t>
            </w:r>
          </w:p>
          <w:p>
            <w:pPr>
              <w:pStyle w:val="Normal"/>
              <w:rPr>
                <w:rFonts w:ascii="Calibri" w:hAnsi="Calibri" w:eastAsia="Calibri" w:cs="Calibri"/>
                <w:iCs/>
                <w:color w:val="002060"/>
                <w:sz w:val="24"/>
                <w:szCs w:val="24"/>
              </w:rPr>
            </w:pPr>
            <w:r>
              <w:rPr>
                <w:rFonts w:eastAsia="Calibri" w:cs="Calibri" w:ascii="Calibri" w:hAnsi="Calibri"/>
                <w:iCs/>
                <w:color w:val="002060"/>
                <w:sz w:val="24"/>
                <w:szCs w:val="24"/>
              </w:rPr>
            </w:r>
          </w:p>
          <w:p>
            <w:pPr>
              <w:pStyle w:val="Style15"/>
              <w:rPr>
                <w:rFonts w:ascii="Calibri Light" w:hAnsi="Calibri Light" w:eastAsia="Calibri" w:cs="Arial"/>
                <w:iCs/>
                <w:color w:val="002060"/>
                <w:sz w:val="20"/>
                <w:szCs w:val="20"/>
                <w:lang w:val="en-GB"/>
              </w:rPr>
            </w:pPr>
            <w:r>
              <w:rPr>
                <w:rFonts w:eastAsia="Calibri" w:cs="Arial" w:ascii="Calibri Light" w:hAnsi="Calibri Light"/>
                <w:iCs/>
                <w:color w:val="002060"/>
                <w:sz w:val="20"/>
                <w:szCs w:val="20"/>
                <w:lang w:val="en-GB"/>
              </w:rPr>
            </w:r>
          </w:p>
        </w:tc>
      </w:tr>
    </w:tbl>
    <w:p>
      <w:pPr>
        <w:pStyle w:val="Default"/>
        <w:rPr>
          <w:rFonts w:ascii="Times New Roman" w:hAnsi="Times New Roman" w:cs="Times New Roman"/>
        </w:rPr>
      </w:pPr>
      <w:r>
        <w:rPr>
          <w:rFonts w:cs="Times New Roman" w:ascii="Times New Roman" w:hAnsi="Times New Roman"/>
        </w:rPr>
      </w:r>
    </w:p>
    <w:p>
      <w:pPr>
        <w:pStyle w:val="Normal"/>
        <w:widowControl w:val="false"/>
        <w:autoSpaceDE w:val="false"/>
        <w:spacing w:lineRule="auto" w:line="276" w:before="120" w:after="200"/>
        <w:rPr>
          <w:rFonts w:ascii="Calibri Light" w:hAnsi="Calibri Light" w:cs="Arial"/>
          <w:b/>
          <w:b/>
          <w:color w:val="000000"/>
          <w:sz w:val="22"/>
          <w:szCs w:val="22"/>
          <w:lang w:val="el-GR"/>
        </w:rPr>
      </w:pPr>
      <w:r>
        <w:rPr>
          <w:rFonts w:cs="Arial" w:ascii="Calibri Light" w:hAnsi="Calibri Light"/>
          <w:b/>
          <w:color w:val="000000"/>
          <w:sz w:val="22"/>
          <w:szCs w:val="22"/>
          <w:lang w:val="el-GR"/>
        </w:rPr>
      </w:r>
      <w:r>
        <w:br w:type="page"/>
      </w:r>
    </w:p>
    <w:p>
      <w:pPr>
        <w:pStyle w:val="Normal"/>
        <w:widowControl w:val="false"/>
        <w:numPr>
          <w:ilvl w:val="0"/>
          <w:numId w:val="1"/>
        </w:numPr>
        <w:autoSpaceDE w:val="false"/>
        <w:spacing w:lineRule="auto" w:line="276" w:before="120" w:after="200"/>
        <w:ind w:left="357" w:hanging="357"/>
        <w:rPr/>
      </w:pPr>
      <w:r>
        <w:rPr/>
        <w:t>TEACHING and LEARNING METHODS - EVALUATION</w:t>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06"/>
        <w:gridCol w:w="5176"/>
      </w:tblGrid>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DELIVERY</w:t>
              <w:br/>
            </w:r>
            <w:r>
              <w:rPr>
                <w:rFonts w:cs="Arial" w:ascii="Calibri Light" w:hAnsi="Calibri Light"/>
                <w:i/>
                <w:sz w:val="16"/>
                <w:szCs w:val="16"/>
                <w:lang w:val="en-GB"/>
              </w:rPr>
              <w:t>Face-to-face, Distance learning, etc.</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Light" w:hAnsi="Calibri Light" w:eastAsia="Calibri" w:cs="Calibri Light"/>
                <w:iCs/>
                <w:color w:val="002060"/>
              </w:rPr>
            </w:pPr>
            <w:r>
              <w:rPr>
                <w:rFonts w:eastAsia="Calibri" w:cs="Calibri Light" w:ascii="Calibri Light" w:hAnsi="Calibri Light"/>
                <w:iCs/>
                <w:color w:val="002060"/>
              </w:rPr>
              <w:t>Face to face</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Light" w:hAnsi="Calibri Light"/>
                <w:b/>
                <w:sz w:val="20"/>
                <w:szCs w:val="20"/>
                <w:lang w:val="en-GB"/>
              </w:rPr>
              <w:t xml:space="preserve">USE OF INFORMATION AND COMMUNICATIONS TECHNOLOGY </w:t>
              <w:br/>
            </w:r>
            <w:r>
              <w:rPr>
                <w:rFonts w:cs="Arial" w:ascii="Calibri Light" w:hAnsi="Calibri Light"/>
                <w:i/>
                <w:sz w:val="16"/>
                <w:szCs w:val="16"/>
                <w:lang w:val="en-GB"/>
              </w:rPr>
              <w:t>Use of ICT in teaching, laboratory education, communication with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b/>
                <w:b/>
                <w:color w:val="002060"/>
                <w:sz w:val="20"/>
                <w:szCs w:val="20"/>
                <w:lang w:val="en-GB"/>
              </w:rPr>
            </w:pPr>
            <w:r>
              <w:rPr>
                <w:rFonts w:cs="Arial" w:ascii="Calibri Light" w:hAnsi="Calibri Light"/>
                <w:b/>
                <w:color w:val="002060"/>
                <w:sz w:val="20"/>
                <w:szCs w:val="20"/>
                <w:lang w:val="en-GB"/>
              </w:rPr>
              <w:t xml:space="preserve">Yes </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TEACHING METHODS</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The manner and methods of teaching are described in detail.</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pPr>
            <w:r>
              <w:rPr/>
              <w:t>The student's study hours for each learning activity are given as well as the hours of non-directed study according to the principles of the ECTS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tbl>
            <w:tblPr>
              <w:tblW w:w="49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7"/>
              <w:gridCol w:w="2478"/>
            </w:tblGrid>
            <w:tr>
              <w:trPr/>
              <w:tc>
                <w:tcPr>
                  <w:tcW w:w="2467"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i/>
                      <w:i/>
                      <w:sz w:val="20"/>
                      <w:szCs w:val="20"/>
                      <w:lang w:val="en-GB"/>
                    </w:rPr>
                  </w:pPr>
                  <w:r>
                    <w:rPr>
                      <w:rFonts w:cs="Arial" w:ascii="Calibri Light" w:hAnsi="Calibri Light"/>
                      <w:b/>
                      <w:i/>
                      <w:sz w:val="20"/>
                      <w:szCs w:val="20"/>
                      <w:lang w:val="en-GB"/>
                    </w:rPr>
                    <w:t>Activity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Light" w:hAnsi="Calibri Light" w:cs="Arial"/>
                      <w:b/>
                      <w:b/>
                      <w:i/>
                      <w:i/>
                      <w:sz w:val="20"/>
                      <w:szCs w:val="20"/>
                      <w:lang w:val="en-GB"/>
                    </w:rPr>
                  </w:pPr>
                  <w:r>
                    <w:rPr>
                      <w:rFonts w:cs="Arial" w:ascii="Calibri Light" w:hAnsi="Calibri Light"/>
                      <w:b/>
                      <w:i/>
                      <w:sz w:val="20"/>
                      <w:szCs w:val="20"/>
                      <w:lang w:val="en-GB"/>
                    </w:rPr>
                    <w:t>Semester workload</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w:ascii="Calibri" w:hAnsi="Calibri"/>
                      <w:b/>
                      <w:bCs/>
                      <w:color w:val="000000"/>
                      <w:sz w:val="20"/>
                      <w:szCs w:val="20"/>
                    </w:rPr>
                    <w:t>lectures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Calibri" w:ascii="Calibri" w:hAnsi="Calibri"/>
                      <w:b/>
                      <w:bCs/>
                      <w:color w:val="000000"/>
                      <w:sz w:val="20"/>
                      <w:szCs w:val="20"/>
                    </w:rPr>
                    <w:t>1.56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w:ascii="Calibri" w:hAnsi="Calibri"/>
                      <w:b/>
                      <w:bCs/>
                      <w:color w:val="000000"/>
                      <w:sz w:val="20"/>
                      <w:szCs w:val="20"/>
                    </w:rPr>
                    <w:t>personal</w:t>
                  </w:r>
                  <w:r>
                    <w:rPr>
                      <w:rStyle w:val="Appleconvertedspace"/>
                      <w:rFonts w:cs="Calibri" w:ascii="Calibri" w:hAnsi="Calibri"/>
                      <w:b/>
                      <w:bCs/>
                      <w:color w:val="000000"/>
                      <w:sz w:val="20"/>
                      <w:szCs w:val="20"/>
                    </w:rPr>
                    <w:t> </w:t>
                  </w:r>
                  <w:r>
                    <w:rPr>
                      <w:rFonts w:cs="Calibri" w:ascii="Calibri" w:hAnsi="Calibri"/>
                      <w:b/>
                      <w:bCs/>
                      <w:color w:val="000000"/>
                      <w:sz w:val="20"/>
                      <w:szCs w:val="20"/>
                    </w:rPr>
                    <w:t>study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Calibri" w:ascii="Calibri" w:hAnsi="Calibri"/>
                      <w:b/>
                      <w:bCs/>
                      <w:color w:val="000000"/>
                      <w:sz w:val="20"/>
                      <w:szCs w:val="20"/>
                    </w:rPr>
                    <w:t>3.32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w:ascii="Calibri" w:hAnsi="Calibri"/>
                      <w:b/>
                      <w:bCs/>
                      <w:color w:val="000000"/>
                      <w:sz w:val="20"/>
                      <w:szCs w:val="20"/>
                    </w:rPr>
                    <w:t>end of semester exam</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720" w:hanging="0"/>
                    <w:rPr>
                      <w:rFonts w:ascii="Calibri Light" w:hAnsi="Calibri Light" w:cs="Arial"/>
                      <w:color w:val="002060"/>
                      <w:sz w:val="20"/>
                      <w:szCs w:val="20"/>
                      <w:lang w:val="el-GR"/>
                    </w:rPr>
                  </w:pPr>
                  <w:r>
                    <w:rPr>
                      <w:rFonts w:cs="Calibri" w:ascii="Calibri" w:hAnsi="Calibri"/>
                      <w:b/>
                      <w:bCs/>
                      <w:color w:val="000000"/>
                      <w:sz w:val="20"/>
                      <w:szCs w:val="20"/>
                    </w:rPr>
                    <w:t>0.12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t xml:space="preserve">Course total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Calibri Light" w:hAnsi="Calibri Light" w:cs="Arial"/>
                      <w:b/>
                      <w:b/>
                      <w:i/>
                      <w:i/>
                      <w:color w:val="002060"/>
                      <w:sz w:val="20"/>
                      <w:szCs w:val="20"/>
                      <w:lang w:val="en-GB"/>
                    </w:rPr>
                  </w:pPr>
                  <w:r>
                    <w:rPr>
                      <w:rFonts w:cs="Calibri" w:ascii="Calibri" w:hAnsi="Calibri"/>
                      <w:b/>
                      <w:bCs/>
                      <w:color w:val="000000"/>
                      <w:sz w:val="20"/>
                      <w:szCs w:val="20"/>
                    </w:rPr>
                    <w:t>5 ECTS</w:t>
                  </w:r>
                </w:p>
              </w:tc>
            </w:tr>
          </w:tbl>
          <w:p>
            <w:pPr>
              <w:pStyle w:val="Normal"/>
              <w:rPr>
                <w:rFonts w:ascii="Calibri Light" w:hAnsi="Calibri Light" w:cs="Tahoma"/>
                <w:lang w:val="en-GB"/>
              </w:rPr>
            </w:pPr>
            <w:r>
              <w:rPr>
                <w:rFonts w:cs="Tahoma" w:ascii="Calibri Light" w:hAnsi="Calibri Light"/>
                <w:lang w:val="en-GB"/>
              </w:rPr>
            </w:r>
          </w:p>
        </w:tc>
      </w:tr>
      <w:tr>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STUDENT PERFORMANCE EVALUATION</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Description of the evaluation procedure</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Specifically-defined evaluation criteria are given, and if and where they are accessible to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color w:val="002060"/>
                <w:sz w:val="16"/>
                <w:szCs w:val="16"/>
                <w:lang w:val="en-GB"/>
              </w:rPr>
            </w:pPr>
            <w:r>
              <w:rPr>
                <w:rFonts w:cs="Arial" w:ascii="Calibri Light" w:hAnsi="Calibri Light"/>
                <w:i/>
                <w:color w:val="002060"/>
                <w:sz w:val="16"/>
                <w:szCs w:val="16"/>
                <w:lang w:val="en-GB"/>
              </w:rPr>
            </w:r>
          </w:p>
          <w:p>
            <w:pPr>
              <w:pStyle w:val="Style15"/>
              <w:spacing w:lineRule="auto" w:line="276" w:before="0" w:after="200"/>
              <w:ind w:left="0" w:hanging="0"/>
              <w:contextualSpacing/>
              <w:rPr/>
            </w:pPr>
            <w:r>
              <w:rPr/>
              <w:t xml:space="preserve">End of semester exam </w:t>
            </w:r>
            <w:r>
              <w:rPr>
                <w:i/>
              </w:rPr>
              <w:t>(</w:t>
            </w:r>
            <w:r>
              <w:rPr>
                <w:i/>
                <w:lang w:val="en-GB"/>
              </w:rPr>
              <w:t>multiple choice questionnaires, short-answer questions, open-ended questions</w:t>
            </w:r>
            <w:r>
              <w:rPr>
                <w:i/>
              </w:rPr>
              <w:t>)</w:t>
            </w:r>
          </w:p>
          <w:p>
            <w:pPr>
              <w:pStyle w:val="Normal"/>
              <w:ind w:left="360" w:hanging="0"/>
              <w:rPr/>
            </w:pPr>
            <w:r>
              <w:rPr>
                <w:lang w:val="el-GR"/>
              </w:rPr>
              <w:t>Language of evaluation: Gree</w:t>
            </w:r>
            <w:r>
              <w:rPr/>
              <w:t>k</w:t>
            </w:r>
          </w:p>
          <w:p>
            <w:pPr>
              <w:pStyle w:val="Normal"/>
              <w:rPr>
                <w:rFonts w:ascii="Calibri" w:hAnsi="Calibri" w:cs="Arial"/>
                <w:color w:val="002060"/>
                <w:lang w:val="el-GR"/>
              </w:rPr>
            </w:pPr>
            <w:r>
              <w:rPr>
                <w:rFonts w:cs="Arial" w:ascii="Calibri" w:hAnsi="Calibri"/>
                <w:color w:val="002060"/>
                <w:lang w:val="el-GR"/>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Calibri" w:ascii="Calibri" w:hAnsi="Calibri"/>
                <w:b/>
                <w:bCs/>
                <w:color w:val="000000"/>
                <w:sz w:val="20"/>
                <w:szCs w:val="20"/>
              </w:rPr>
              <w:b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tc>
      </w:tr>
      <w:tr>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b/>
                <w:b/>
                <w:color w:val="002060"/>
                <w:sz w:val="20"/>
                <w:szCs w:val="20"/>
                <w:lang w:val="en-GB"/>
              </w:rPr>
            </w:pPr>
            <w:r>
              <w:rPr>
                <w:rFonts w:cs="Arial" w:ascii="Calibri Light" w:hAnsi="Calibri Light"/>
                <w:b/>
                <w:color w:val="002060"/>
                <w:sz w:val="20"/>
                <w:szCs w:val="20"/>
                <w:lang w:val="en-GB"/>
              </w:rPr>
            </w:r>
          </w:p>
        </w:tc>
      </w:tr>
    </w:tbl>
    <w:p>
      <w:pPr>
        <w:pStyle w:val="Normal"/>
        <w:widowControl w:val="false"/>
        <w:numPr>
          <w:ilvl w:val="0"/>
          <w:numId w:val="1"/>
        </w:numPr>
        <w:autoSpaceDE w:val="false"/>
        <w:spacing w:lineRule="auto" w:line="276" w:before="240" w:after="200"/>
        <w:ind w:left="357" w:hanging="357"/>
        <w:rPr/>
      </w:pPr>
      <w:r>
        <w:rPr/>
        <w:t>ATTACHED BIBLIOGRAPHY</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25" w:hanging="425"/>
              <w:jc w:val="both"/>
              <w:rPr/>
            </w:pPr>
            <w:r>
              <w:rPr/>
              <w:t>IN GREEK</w:t>
            </w:r>
          </w:p>
          <w:p>
            <w:pPr>
              <w:pStyle w:val="Normal"/>
              <w:ind w:left="425" w:hanging="425"/>
              <w:jc w:val="both"/>
              <w:rPr>
                <w:lang w:val="el-GR"/>
              </w:rPr>
            </w:pPr>
            <w:r>
              <w:rPr>
                <w:lang w:val="el-GR"/>
              </w:rPr>
              <w:t xml:space="preserve">Αρχάκης, Α. &amp; Κονδύλη, Μ. (2004) </w:t>
            </w:r>
            <w:r>
              <w:rPr>
                <w:i/>
                <w:lang w:val="el-GR"/>
              </w:rPr>
              <w:t xml:space="preserve">Εισαγωγή σε Ζητήματα Κοινωνιογλωσσολογίας. </w:t>
            </w:r>
            <w:r>
              <w:rPr>
                <w:lang w:val="el-GR"/>
              </w:rPr>
              <w:t>Αθήνα: Νήσος.</w:t>
            </w:r>
          </w:p>
          <w:p>
            <w:pPr>
              <w:pStyle w:val="Normal"/>
              <w:ind w:left="425" w:hanging="425"/>
              <w:jc w:val="both"/>
              <w:rPr>
                <w:lang w:val="el-GR"/>
              </w:rPr>
            </w:pPr>
            <w:r>
              <w:rPr>
                <w:color w:val="000000"/>
                <w:lang w:val="el-GR"/>
              </w:rPr>
              <w:t xml:space="preserve">Μικρός, Γ. 2008. </w:t>
            </w:r>
            <w:r>
              <w:rPr>
                <w:i/>
                <w:color w:val="000000"/>
                <w:lang w:val="el-GR"/>
              </w:rPr>
              <w:t xml:space="preserve">Η Ποσοτική Ανάλυση της Κοινωνιογλωσσολογικής Ποικιλίας. </w:t>
            </w:r>
            <w:r>
              <w:rPr>
                <w:color w:val="000000"/>
              </w:rPr>
              <w:t>Αθήνα: Μεταίχμιο</w:t>
            </w:r>
          </w:p>
          <w:p>
            <w:pPr>
              <w:pStyle w:val="TextBodyIndent"/>
              <w:ind w:left="360" w:hanging="0"/>
              <w:rPr>
                <w:i/>
                <w:i/>
                <w:lang w:val="el-GR"/>
              </w:rPr>
            </w:pPr>
            <w:r>
              <w:rPr>
                <w:i/>
                <w:lang w:val="el-GR"/>
              </w:rPr>
            </w:r>
          </w:p>
          <w:p>
            <w:pPr>
              <w:pStyle w:val="Normal"/>
              <w:ind w:left="425" w:hanging="425"/>
              <w:jc w:val="both"/>
              <w:rPr>
                <w:i/>
                <w:i/>
                <w:lang w:val="el-GR"/>
              </w:rPr>
            </w:pPr>
            <w:r>
              <w:rPr>
                <w:i/>
                <w:lang w:val="el-GR"/>
              </w:rPr>
            </w:r>
          </w:p>
          <w:p>
            <w:pPr>
              <w:pStyle w:val="Normal"/>
              <w:ind w:left="425" w:hanging="425"/>
              <w:jc w:val="both"/>
              <w:rPr>
                <w:lang w:val="el-GR"/>
              </w:rPr>
            </w:pPr>
            <w:r>
              <w:rPr>
                <w:lang w:val="el-GR"/>
              </w:rPr>
            </w:r>
          </w:p>
          <w:p>
            <w:pPr>
              <w:pStyle w:val="Normal"/>
              <w:ind w:left="425" w:hanging="425"/>
              <w:jc w:val="both"/>
              <w:rPr>
                <w:lang w:val="el-GR"/>
              </w:rPr>
            </w:pPr>
            <w:r>
              <w:rPr/>
              <w:t>IN</w:t>
            </w:r>
            <w:r>
              <w:rPr>
                <w:lang w:val="el-GR"/>
              </w:rPr>
              <w:t xml:space="preserve"> </w:t>
            </w:r>
            <w:r>
              <w:rPr/>
              <w:t>ENGLISH</w:t>
            </w:r>
          </w:p>
          <w:p>
            <w:pPr>
              <w:pStyle w:val="Normal"/>
              <w:ind w:left="425" w:hanging="425"/>
              <w:jc w:val="both"/>
              <w:rPr/>
            </w:pPr>
            <w:r>
              <w:rPr/>
              <w:t xml:space="preserve">Ball. M. J. (ed.). 2010. </w:t>
            </w:r>
            <w:r>
              <w:rPr>
                <w:i/>
              </w:rPr>
              <w:t xml:space="preserve">The Routledge Handbook of Sociolinguistics around the World. </w:t>
            </w:r>
            <w:r>
              <w:rPr/>
              <w:t>London: Routledge.</w:t>
            </w:r>
          </w:p>
          <w:p>
            <w:pPr>
              <w:pStyle w:val="Normal"/>
              <w:ind w:left="425" w:hanging="425"/>
              <w:jc w:val="both"/>
              <w:rPr/>
            </w:pPr>
            <w:r>
              <w:rPr/>
              <w:t xml:space="preserve">Chambers, J. K., Trudgill, P. &amp; Schilling-Estes, N. (eds). 2002. </w:t>
            </w:r>
            <w:r>
              <w:rPr>
                <w:i/>
              </w:rPr>
              <w:t xml:space="preserve">The Handbook of Language Variation and Change. </w:t>
            </w:r>
            <w:r>
              <w:rPr/>
              <w:t>Oxford: Blackwell.</w:t>
            </w:r>
            <w:r>
              <w:rPr>
                <w:i/>
              </w:rPr>
              <w:t xml:space="preserve"> </w:t>
            </w:r>
            <w:r>
              <w:rPr/>
              <w:t xml:space="preserve"> </w:t>
            </w:r>
          </w:p>
          <w:p>
            <w:pPr>
              <w:pStyle w:val="Normal"/>
              <w:ind w:left="425" w:hanging="425"/>
              <w:jc w:val="both"/>
              <w:rPr/>
            </w:pPr>
            <w:r>
              <w:rPr/>
              <w:t xml:space="preserve">Coulmas, F. (ed.). 1998. </w:t>
            </w:r>
            <w:r>
              <w:rPr>
                <w:i/>
              </w:rPr>
              <w:t xml:space="preserve">Handbook of Sociolinguistics. </w:t>
            </w:r>
            <w:r>
              <w:rPr/>
              <w:t>Oxford: Blackwell.</w:t>
            </w:r>
          </w:p>
          <w:p>
            <w:pPr>
              <w:pStyle w:val="Normal"/>
              <w:ind w:left="425" w:hanging="425"/>
              <w:jc w:val="both"/>
              <w:rPr/>
            </w:pPr>
            <w:r>
              <w:rPr/>
              <w:t xml:space="preserve">Duranti, A. 1997. </w:t>
            </w:r>
            <w:r>
              <w:rPr>
                <w:i/>
              </w:rPr>
              <w:t xml:space="preserve">Linguistic Anthropology. </w:t>
            </w:r>
            <w:r>
              <w:rPr/>
              <w:t>Cambridge: Cambridge University Press.</w:t>
            </w:r>
          </w:p>
          <w:p>
            <w:pPr>
              <w:pStyle w:val="Normal"/>
              <w:ind w:left="425" w:hanging="425"/>
              <w:jc w:val="both"/>
              <w:rPr/>
            </w:pPr>
            <w:r>
              <w:rPr/>
              <w:t>Eckert, P. 2000. Linguistic Variation as Social Practice. Oxford: Blackwell.</w:t>
            </w:r>
          </w:p>
          <w:p>
            <w:pPr>
              <w:pStyle w:val="Normal"/>
              <w:ind w:left="425" w:hanging="425"/>
              <w:jc w:val="both"/>
              <w:rPr>
                <w:lang w:val="en-US" w:eastAsia="en-US"/>
              </w:rPr>
            </w:pPr>
            <w:r>
              <w:rPr>
                <w:lang w:val="en-US" w:eastAsia="en-US"/>
              </w:rPr>
              <w:t>Gumperz, John J. 1982. Discourse Strategies. Cambridge: Cambridge University Press.</w:t>
            </w:r>
          </w:p>
          <w:p>
            <w:pPr>
              <w:pStyle w:val="Normal"/>
              <w:ind w:left="425" w:hanging="425"/>
              <w:jc w:val="both"/>
              <w:rPr/>
            </w:pPr>
            <w:r>
              <w:rPr/>
              <w:t xml:space="preserve">Hymes, D. 1972: “On communicative competence”. Στους J.B. Pride &amp; J. Holmes (επιμ.), </w:t>
            </w:r>
            <w:r>
              <w:rPr>
                <w:i/>
              </w:rPr>
              <w:t xml:space="preserve">Sociolinguistics. </w:t>
            </w:r>
            <w:r>
              <w:rPr/>
              <w:t>London: Penguin.</w:t>
            </w:r>
          </w:p>
          <w:p>
            <w:pPr>
              <w:pStyle w:val="Normal"/>
              <w:ind w:left="425" w:hanging="425"/>
              <w:jc w:val="both"/>
              <w:rPr/>
            </w:pPr>
            <w:r>
              <w:rPr/>
              <w:t xml:space="preserve">Labov, W. 1972: </w:t>
            </w:r>
            <w:r>
              <w:rPr>
                <w:i/>
              </w:rPr>
              <w:t>Sociolinguistic Patterns.</w:t>
            </w:r>
            <w:r>
              <w:rPr/>
              <w:t xml:space="preserve"> Oxford: Blackwell.</w:t>
            </w:r>
          </w:p>
          <w:p>
            <w:pPr>
              <w:pStyle w:val="Normal"/>
              <w:ind w:left="425" w:hanging="425"/>
              <w:jc w:val="both"/>
              <w:rPr/>
            </w:pPr>
            <w:r>
              <w:rPr/>
              <w:t>Mesthrie, R. (ed.).</w:t>
            </w:r>
            <w:r>
              <w:rPr>
                <w:i/>
              </w:rPr>
              <w:t xml:space="preserve"> The Cambridge Handbook of Sociolinguistics. </w:t>
            </w:r>
            <w:r>
              <w:rPr/>
              <w:t>Cambridge: CUP.</w:t>
            </w:r>
          </w:p>
          <w:p>
            <w:pPr>
              <w:pStyle w:val="Normal"/>
              <w:ind w:left="425" w:hanging="425"/>
              <w:jc w:val="both"/>
              <w:rPr/>
            </w:pPr>
            <w:r>
              <w:rPr/>
              <w:t xml:space="preserve">Milroy, L. &amp; Gordon, M. 2003. </w:t>
            </w:r>
            <w:r>
              <w:rPr>
                <w:i/>
              </w:rPr>
              <w:t xml:space="preserve">Sociolinguistics. Method and Interpretation. </w:t>
            </w:r>
            <w:r>
              <w:rPr/>
              <w:t xml:space="preserve">Oxford: Blackwell. </w:t>
            </w:r>
          </w:p>
          <w:p>
            <w:pPr>
              <w:pStyle w:val="Normal"/>
              <w:ind w:left="425" w:hanging="425"/>
              <w:jc w:val="both"/>
              <w:rPr/>
            </w:pPr>
            <w:r>
              <w:rPr/>
              <w:t xml:space="preserve">Ochs, E. 1988: </w:t>
            </w:r>
            <w:r>
              <w:rPr>
                <w:i/>
              </w:rPr>
              <w:t>Culture and Language Development: Language acquisition and language socialization in a Samoan village.</w:t>
            </w:r>
            <w:r>
              <w:rPr/>
              <w:t xml:space="preserve"> Cambridge: Cambridge University Press.</w:t>
            </w:r>
          </w:p>
          <w:p>
            <w:pPr>
              <w:pStyle w:val="Normal"/>
              <w:ind w:left="425" w:hanging="425"/>
              <w:jc w:val="both"/>
              <w:rPr/>
            </w:pPr>
            <w:r>
              <w:rPr/>
              <w:t xml:space="preserve">Romaine, S. 1984: </w:t>
            </w:r>
            <w:r>
              <w:rPr>
                <w:i/>
              </w:rPr>
              <w:t>The Language of Children and Adolescents: The acquisition of communicative competence.</w:t>
            </w:r>
            <w:r>
              <w:rPr/>
              <w:t xml:space="preserve"> Oxford: Blackwell.</w:t>
            </w:r>
          </w:p>
          <w:p>
            <w:pPr>
              <w:pStyle w:val="Normal"/>
              <w:ind w:left="425" w:hanging="425"/>
              <w:jc w:val="both"/>
              <w:rPr/>
            </w:pPr>
            <w:r>
              <w:rPr/>
              <w:t xml:space="preserve">Saville- Troike, M. 1989. </w:t>
            </w:r>
            <w:r>
              <w:rPr>
                <w:i/>
              </w:rPr>
              <w:t xml:space="preserve">The Ethnography of Communication: An Introduction. </w:t>
            </w:r>
            <w:r>
              <w:rPr/>
              <w:t>Oxford: Blackwell.</w:t>
            </w:r>
          </w:p>
          <w:p>
            <w:pPr>
              <w:pStyle w:val="Normal"/>
              <w:ind w:left="425" w:hanging="425"/>
              <w:jc w:val="both"/>
              <w:rPr/>
            </w:pPr>
            <w:r>
              <w:rPr/>
              <w:t xml:space="preserve">Trudgill, P. 1974: </w:t>
            </w:r>
            <w:r>
              <w:rPr>
                <w:i/>
              </w:rPr>
              <w:t>Sociolinguistics: An introduction to language and society.</w:t>
            </w:r>
            <w:r>
              <w:rPr/>
              <w:t xml:space="preserve"> London: Penguin.</w:t>
            </w:r>
          </w:p>
          <w:p>
            <w:pPr>
              <w:pStyle w:val="Normal"/>
              <w:jc w:val="both"/>
              <w:rPr>
                <w:rFonts w:ascii="Calibri Light" w:hAnsi="Calibri Light" w:eastAsia="Calibri" w:cs="Arial"/>
                <w:color w:val="002060"/>
                <w:lang w:val="en-GB"/>
              </w:rPr>
            </w:pPr>
            <w:r>
              <w:rPr>
                <w:rFonts w:eastAsia="Calibri" w:cs="Arial" w:ascii="Calibri Light" w:hAnsi="Calibri Light"/>
                <w:color w:val="002060"/>
                <w:lang w:val="en-GB"/>
              </w:rPr>
            </w:r>
          </w:p>
          <w:p>
            <w:pPr>
              <w:pStyle w:val="Normal"/>
              <w:jc w:val="both"/>
              <w:rPr>
                <w:rFonts w:ascii="Calibri Light" w:hAnsi="Calibri Light" w:eastAsia="Calibri" w:cs="Arial"/>
                <w:b/>
                <w:b/>
                <w:color w:val="002060"/>
                <w:lang w:val="en-GB"/>
              </w:rPr>
            </w:pPr>
            <w:r>
              <w:rPr>
                <w:rFonts w:eastAsia="Calibri" w:cs="Arial" w:ascii="Calibri Light" w:hAnsi="Calibri Light"/>
                <w:b/>
                <w:color w:val="002060"/>
                <w:lang w:val="en-GB"/>
              </w:rPr>
            </w:r>
          </w:p>
        </w:tc>
      </w:tr>
    </w:tbl>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Calibri Light">
    <w:charset w:val="a1"/>
    <w:family w:val="swiss"/>
    <w:pitch w:val="variable"/>
  </w:font>
  <w:font w:name="Courier New">
    <w:charset w:val="a1"/>
    <w:family w:val="modern"/>
    <w:pitch w:val="default"/>
  </w:font>
  <w:font w:name="Wingdings">
    <w:charset w:val="02"/>
    <w:family w:val="auto"/>
    <w:pitch w:val="variable"/>
  </w:font>
  <w:font w:name="Calibri">
    <w:charset w:val="a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rFonts w:ascii="Calibri Light" w:hAnsi="Calibri Light" w:cs="Times New Roman"/>
        <w:lang w:val="en-GB"/>
      </w:rPr>
    </w:lvl>
  </w:abstractNum>
  <w:abstractNum w:abstractNumId="2">
    <w:lvl w:ilvl="0">
      <w:start w:val="1"/>
      <w:numFmt w:val="decimal"/>
      <w:lvlText w:val="%1."/>
      <w:lvlJc w:val="left"/>
      <w:pPr>
        <w:ind w:left="720" w:hanging="360"/>
      </w:pPr>
      <w:rPr/>
    </w:lvl>
  </w:abstractNum>
  <w:abstractNum w:abstractNumId="3">
    <w:lvl w:ilvl="0">
      <w:start w:val="1"/>
      <w:numFmt w:val="bullet"/>
      <w:lvlText w:val=""/>
      <w:lvlJc w:val="left"/>
      <w:pPr>
        <w:ind w:left="1174" w:hanging="360"/>
      </w:pPr>
      <w:rPr>
        <w:rFonts w:ascii="Symbol" w:hAnsi="Symbol" w:cs="Symbol" w:hint="default"/>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Calibri Light" w:hAnsi="Calibri Light" w:cs="Times New Roman"/>
      <w:b/>
      <w:sz w:val="22"/>
      <w:szCs w:val="22"/>
      <w:lang w:val="en-GB"/>
    </w:rPr>
  </w:style>
  <w:style w:type="character" w:styleId="WW8Num1z1">
    <w:name w:val="WW8Num1z1"/>
    <w:qFormat/>
    <w:rPr>
      <w:rFonts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Style14">
    <w:name w:val="Προεπιλεγμένη γραμματοσειρά"/>
    <w:qFormat/>
    <w:rPr/>
  </w:style>
  <w:style w:type="character" w:styleId="Char">
    <w:name w:val="Σώμα κειμένου Char"/>
    <w:qFormat/>
    <w:rPr>
      <w:rFonts w:ascii="Times New Roman" w:hAnsi="Times New Roman" w:eastAsia="Times New Roman" w:cs="Times New Roman"/>
      <w:sz w:val="20"/>
      <w:szCs w:val="20"/>
      <w:lang w:val="en-US"/>
    </w:rPr>
  </w:style>
  <w:style w:type="character" w:styleId="Char1">
    <w:name w:val="Σώμα κείμενου με εσοχή Char"/>
    <w:qFormat/>
    <w:rPr>
      <w:rFonts w:ascii="Calibri" w:hAnsi="Calibri" w:eastAsia="Times New Roman" w:cs="Times New Roman"/>
    </w:rPr>
  </w:style>
  <w:style w:type="character" w:styleId="Appleconvertedspace">
    <w:name w:val="apple-converted-space"/>
    <w:basedOn w:val="Style14"/>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before="0" w:after="120"/>
    </w:pPr>
    <w:rPr>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name w:val="Παράγραφος λίστας"/>
    <w:basedOn w:val="Normal"/>
    <w:qFormat/>
    <w:pPr>
      <w:spacing w:before="0" w:after="0"/>
      <w:ind w:left="720" w:hanging="0"/>
      <w:contextualSpacing/>
    </w:pPr>
    <w:rPr/>
  </w:style>
  <w:style w:type="paragraph" w:styleId="TextBodyIndent">
    <w:name w:val="Body Text Indent"/>
    <w:basedOn w:val="Normal"/>
    <w:pPr>
      <w:spacing w:lineRule="auto" w:line="276" w:before="0" w:after="120"/>
      <w:ind w:left="283" w:hanging="0"/>
    </w:pPr>
    <w:rPr>
      <w:rFonts w:ascii="Calibri" w:hAnsi="Calibri" w:cs="Calibri"/>
      <w:sz w:val="22"/>
      <w:szCs w:val="22"/>
      <w:lang w:val="el-GR"/>
    </w:rPr>
  </w:style>
  <w:style w:type="paragraph" w:styleId="Default">
    <w:name w:val="Default"/>
    <w:qFormat/>
    <w:pPr>
      <w:widowControl/>
      <w:autoSpaceDE w:val="false"/>
    </w:pPr>
    <w:rPr>
      <w:rFonts w:ascii="Symbol" w:hAnsi="Symbol" w:eastAsia="Calibri" w:cs="Symbol"/>
      <w:color w:val="000000"/>
      <w:sz w:val="24"/>
      <w:szCs w:val="24"/>
      <w:lang w:val="el-G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LibreOffice/5.4.2.2$Linux_X86_64 LibreOffice_project/40m0$Build-2</Application>
  <Pages>3</Pages>
  <Words>888</Words>
  <Characters>5754</Characters>
  <CharactersWithSpaces>6548</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2017-09-25T08:27:00Z</dcterms:created>
  <dc:creator>User</dc:creator>
  <dc:description/>
  <dc:language>en-US</dc:language>
  <cp:lastModifiedBy>Xalkia Sofia</cp:lastModifiedBy>
  <dcterms:modified xsi:type="dcterms:W3CDTF">2017-09-25T08:27:00Z</dcterms:modified>
  <cp:revision>3</cp:revision>
  <dc:subject/>
  <dc:title/>
</cp:coreProperties>
</file>