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6403CB" w:rsidRDefault="00CC1EC5" w:rsidP="00CC1EC5">
      <w:pPr>
        <w:spacing w:before="120" w:line="276" w:lineRule="auto"/>
        <w:ind w:firstLine="357"/>
        <w:jc w:val="center"/>
        <w:rPr>
          <w:rFonts w:asciiTheme="majorHAnsi" w:hAnsiTheme="majorHAnsi" w:cs="Arial"/>
          <w:lang w:val="en-GB"/>
        </w:rPr>
      </w:pPr>
      <w:bookmarkStart w:id="0" w:name="_GoBack"/>
      <w:bookmarkEnd w:id="0"/>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1115"/>
        <w:gridCol w:w="1274"/>
        <w:gridCol w:w="1201"/>
        <w:gridCol w:w="342"/>
        <w:gridCol w:w="1231"/>
      </w:tblGrid>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CC1EC5" w:rsidRPr="006403CB" w:rsidRDefault="00E92000"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SCHOOL OF HUMANITIES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CC1EC5" w:rsidRPr="006403CB" w:rsidRDefault="00E92000"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DEPARTMENT OF MEDITERRANEAN STUDIES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CC1EC5" w:rsidRPr="006403CB" w:rsidRDefault="0093598A"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AC3528" w:rsidP="00E30CBA">
            <w:pPr>
              <w:rPr>
                <w:rFonts w:asciiTheme="majorHAnsi" w:hAnsiTheme="majorHAnsi" w:cs="Arial"/>
                <w:b/>
                <w:sz w:val="20"/>
                <w:szCs w:val="20"/>
                <w:lang w:val="en-GB"/>
              </w:rPr>
            </w:pPr>
            <w:r>
              <w:rPr>
                <w:rFonts w:asciiTheme="majorHAnsi" w:hAnsiTheme="majorHAnsi" w:cs="Arial"/>
                <w:b/>
                <w:sz w:val="20"/>
                <w:szCs w:val="20"/>
                <w:lang w:val="en-GB"/>
              </w:rPr>
              <w:t>KY-08</w:t>
            </w: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CC1EC5" w:rsidRPr="006403CB" w:rsidRDefault="00E92000" w:rsidP="00E30CBA">
            <w:pPr>
              <w:rPr>
                <w:rFonts w:asciiTheme="majorHAnsi" w:hAnsiTheme="majorHAnsi" w:cs="Arial"/>
                <w:b/>
                <w:sz w:val="20"/>
                <w:szCs w:val="20"/>
                <w:lang w:val="en-GB"/>
              </w:rPr>
            </w:pPr>
            <w:r>
              <w:rPr>
                <w:rFonts w:asciiTheme="majorHAnsi" w:hAnsiTheme="majorHAnsi" w:cs="Arial"/>
                <w:b/>
                <w:sz w:val="20"/>
                <w:szCs w:val="20"/>
                <w:lang w:val="en-GB"/>
              </w:rPr>
              <w:t>B</w:t>
            </w:r>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6403CB" w:rsidRDefault="00E92000" w:rsidP="00E30CBA">
            <w:pPr>
              <w:rPr>
                <w:rFonts w:asciiTheme="majorHAnsi" w:hAnsiTheme="majorHAnsi" w:cs="Arial"/>
                <w:sz w:val="20"/>
                <w:szCs w:val="20"/>
                <w:lang w:val="en-GB"/>
              </w:rPr>
            </w:pPr>
            <w:r>
              <w:rPr>
                <w:rFonts w:asciiTheme="majorHAnsi" w:hAnsiTheme="majorHAnsi" w:cs="Arial"/>
                <w:sz w:val="20"/>
                <w:szCs w:val="20"/>
                <w:lang w:val="en-GB"/>
              </w:rPr>
              <w:t>LANGUAGE AND SOCIETY</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59" w:type="dxa"/>
            <w:gridSpan w:val="2"/>
          </w:tcPr>
          <w:p w:rsidR="00CC1EC5" w:rsidRPr="006403CB" w:rsidRDefault="00E92000"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40" w:type="dxa"/>
          </w:tcPr>
          <w:p w:rsidR="00CC1EC5" w:rsidRPr="006403CB" w:rsidRDefault="00E92000"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6403CB" w:rsidRDefault="00E92000"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GENERAL BACKGROUND</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6403CB" w:rsidRDefault="00E92000"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NONE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6403CB" w:rsidRDefault="00E92000"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6403CB" w:rsidRDefault="00E92000"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NO</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6403CB" w:rsidRDefault="00E92000" w:rsidP="00E30CBA">
            <w:pPr>
              <w:spacing w:after="200" w:line="276" w:lineRule="auto"/>
              <w:rPr>
                <w:rFonts w:asciiTheme="majorHAnsi" w:eastAsia="Calibri" w:hAnsiTheme="majorHAnsi" w:cs="Arial"/>
                <w:color w:val="002060"/>
                <w:sz w:val="20"/>
                <w:szCs w:val="20"/>
                <w:lang w:val="en-GB"/>
              </w:rPr>
            </w:pPr>
            <w:r w:rsidRPr="00E92000">
              <w:rPr>
                <w:rFonts w:asciiTheme="majorHAnsi" w:eastAsia="Calibri" w:hAnsiTheme="majorHAnsi" w:cs="Arial"/>
                <w:color w:val="002060"/>
                <w:sz w:val="20"/>
                <w:szCs w:val="20"/>
                <w:lang w:val="en-GB"/>
              </w:rPr>
              <w:t>https://eclass.aegean.gr/courses/TMS186/</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9"/>
        <w:gridCol w:w="4569"/>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6A5903" w:rsidRPr="00E92000" w:rsidRDefault="006A5903" w:rsidP="006A5903">
            <w:pPr>
              <w:widowControl w:val="0"/>
              <w:autoSpaceDE w:val="0"/>
              <w:autoSpaceDN w:val="0"/>
              <w:adjustRightInd w:val="0"/>
              <w:rPr>
                <w:rFonts w:ascii="Calibri" w:eastAsia="Calibri" w:hAnsi="Calibri"/>
                <w:b/>
                <w:color w:val="002060"/>
              </w:rPr>
            </w:pPr>
          </w:p>
          <w:p w:rsidR="006A5903" w:rsidRPr="00E92000" w:rsidRDefault="006A5903" w:rsidP="006A5903">
            <w:pPr>
              <w:widowControl w:val="0"/>
              <w:autoSpaceDE w:val="0"/>
              <w:autoSpaceDN w:val="0"/>
              <w:adjustRightInd w:val="0"/>
              <w:rPr>
                <w:rFonts w:ascii="Calibri" w:eastAsia="Calibri" w:hAnsi="Calibri"/>
                <w:b/>
                <w:color w:val="002060"/>
              </w:rPr>
            </w:pPr>
          </w:p>
          <w:p w:rsidR="00E92000" w:rsidRDefault="00E92000" w:rsidP="00E92000">
            <w:pPr>
              <w:pStyle w:val="Default"/>
              <w:rPr>
                <w:rFonts w:ascii="Times New Roman" w:hAnsi="Times New Roman" w:cs="Times New Roman"/>
                <w:lang w:val="en-US"/>
              </w:rPr>
            </w:pPr>
            <w:r w:rsidRPr="001E4E6C">
              <w:rPr>
                <w:rFonts w:ascii="Times New Roman" w:hAnsi="Times New Roman" w:cs="Times New Roman"/>
                <w:lang w:val="en-US"/>
              </w:rPr>
              <w:t xml:space="preserve">1. </w:t>
            </w:r>
            <w:r>
              <w:rPr>
                <w:rFonts w:ascii="Times New Roman" w:hAnsi="Times New Roman" w:cs="Times New Roman"/>
                <w:lang w:val="en-US"/>
              </w:rPr>
              <w:t>To understand the framework of sociolinguistic and ethnographic research and discourse analysis</w:t>
            </w:r>
          </w:p>
          <w:p w:rsidR="00E92000" w:rsidRDefault="00E92000" w:rsidP="00E92000">
            <w:pPr>
              <w:pStyle w:val="Default"/>
              <w:rPr>
                <w:rFonts w:ascii="Times New Roman" w:hAnsi="Times New Roman" w:cs="Times New Roman"/>
                <w:lang w:val="en-US"/>
              </w:rPr>
            </w:pPr>
            <w:r>
              <w:rPr>
                <w:rFonts w:ascii="Times New Roman" w:hAnsi="Times New Roman" w:cs="Times New Roman"/>
                <w:lang w:val="en-US"/>
              </w:rPr>
              <w:t>2. To understand basic paradigms of sociolinguistic research</w:t>
            </w:r>
          </w:p>
          <w:p w:rsidR="00E92000" w:rsidRDefault="00E92000" w:rsidP="00E92000">
            <w:pPr>
              <w:pStyle w:val="Default"/>
              <w:rPr>
                <w:rFonts w:ascii="Times New Roman" w:hAnsi="Times New Roman" w:cs="Times New Roman"/>
                <w:lang w:val="en-US"/>
              </w:rPr>
            </w:pPr>
            <w:r>
              <w:rPr>
                <w:rFonts w:ascii="Times New Roman" w:hAnsi="Times New Roman" w:cs="Times New Roman"/>
                <w:lang w:val="en-US"/>
              </w:rPr>
              <w:t xml:space="preserve">3. To be able to collect, analyze and compare sociolinguistic data </w:t>
            </w:r>
          </w:p>
          <w:p w:rsidR="006A5903" w:rsidRDefault="00E92000" w:rsidP="00E92000">
            <w:pPr>
              <w:pStyle w:val="Default"/>
              <w:rPr>
                <w:rFonts w:ascii="Times New Roman" w:hAnsi="Times New Roman" w:cs="Times New Roman"/>
                <w:lang w:val="en-US"/>
              </w:rPr>
            </w:pPr>
            <w:r>
              <w:rPr>
                <w:rFonts w:ascii="Times New Roman" w:hAnsi="Times New Roman" w:cs="Times New Roman"/>
                <w:lang w:val="en-US"/>
              </w:rPr>
              <w:t>4. To be able to write and present a sociolinguistic paper</w:t>
            </w:r>
          </w:p>
          <w:p w:rsidR="005C35D5" w:rsidRDefault="005C35D5" w:rsidP="00E92000">
            <w:pPr>
              <w:pStyle w:val="Default"/>
              <w:rPr>
                <w:rFonts w:ascii="Times New Roman" w:hAnsi="Times New Roman" w:cs="Times New Roman"/>
                <w:lang w:val="en-US"/>
              </w:rPr>
            </w:pPr>
          </w:p>
          <w:p w:rsidR="005C35D5" w:rsidRDefault="005C35D5" w:rsidP="00E92000">
            <w:pPr>
              <w:pStyle w:val="Default"/>
              <w:rPr>
                <w:rFonts w:ascii="Times New Roman" w:hAnsi="Times New Roman" w:cs="Times New Roman"/>
                <w:lang w:val="en-US"/>
              </w:rPr>
            </w:pPr>
          </w:p>
          <w:p w:rsidR="005C35D5" w:rsidRDefault="005C35D5" w:rsidP="00E92000">
            <w:pPr>
              <w:pStyle w:val="Default"/>
              <w:rPr>
                <w:rFonts w:ascii="Times New Roman" w:hAnsi="Times New Roman" w:cs="Times New Roman"/>
                <w:lang w:val="en-US"/>
              </w:rPr>
            </w:pPr>
          </w:p>
          <w:p w:rsidR="005C35D5" w:rsidRDefault="005C35D5" w:rsidP="00E92000">
            <w:pPr>
              <w:pStyle w:val="Default"/>
              <w:rPr>
                <w:rFonts w:ascii="Times New Roman" w:hAnsi="Times New Roman" w:cs="Times New Roman"/>
                <w:lang w:val="en-US"/>
              </w:rPr>
            </w:pPr>
          </w:p>
          <w:p w:rsidR="005C35D5" w:rsidRDefault="005C35D5" w:rsidP="00E92000">
            <w:pPr>
              <w:pStyle w:val="Default"/>
              <w:rPr>
                <w:rFonts w:ascii="Times New Roman" w:hAnsi="Times New Roman" w:cs="Times New Roman"/>
                <w:lang w:val="en-US"/>
              </w:rPr>
            </w:pPr>
          </w:p>
          <w:p w:rsidR="005C35D5" w:rsidRPr="00E92000" w:rsidRDefault="005C35D5" w:rsidP="00E92000">
            <w:pPr>
              <w:pStyle w:val="Default"/>
              <w:rPr>
                <w:rFonts w:ascii="Times New Roman" w:hAnsi="Times New Roman" w:cs="Times New Roman"/>
                <w:lang w:val="en-US"/>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E30CBA">
        <w:tc>
          <w:tcPr>
            <w:tcW w:w="8472" w:type="dxa"/>
            <w:gridSpan w:val="2"/>
            <w:tcBorders>
              <w:bottom w:val="single" w:sz="4" w:space="0" w:color="auto"/>
            </w:tcBorders>
          </w:tcPr>
          <w:p w:rsidR="00E92000" w:rsidRDefault="00E92000"/>
          <w:tbl>
            <w:tblPr>
              <w:tblW w:w="8472" w:type="dxa"/>
              <w:shd w:val="clear" w:color="auto" w:fill="FFFFFF" w:themeFill="background1"/>
              <w:tblLook w:val="0000" w:firstRow="0" w:lastRow="0" w:firstColumn="0" w:lastColumn="0" w:noHBand="0" w:noVBand="0"/>
            </w:tblPr>
            <w:tblGrid>
              <w:gridCol w:w="3964"/>
              <w:gridCol w:w="4508"/>
            </w:tblGrid>
            <w:tr w:rsidR="00E92000" w:rsidRPr="00E92000" w:rsidTr="00E92000">
              <w:tc>
                <w:tcPr>
                  <w:tcW w:w="3964" w:type="dxa"/>
                  <w:shd w:val="clear" w:color="auto" w:fill="FFFFFF" w:themeFill="background1"/>
                </w:tcPr>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Search for, analysis and synthesis of data and information, with the use of the necessary technology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Adapting to new situations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Decision-making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Working independently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Team work</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Working in an interdisciplinary environment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Production of new research ideas </w:t>
                  </w:r>
                </w:p>
              </w:tc>
              <w:tc>
                <w:tcPr>
                  <w:tcW w:w="4508" w:type="dxa"/>
                  <w:shd w:val="clear" w:color="auto" w:fill="FFFFFF" w:themeFill="background1"/>
                </w:tcPr>
                <w:p w:rsidR="00E92000" w:rsidRPr="00E92000" w:rsidRDefault="00E92000" w:rsidP="00E92000">
                  <w:pPr>
                    <w:widowControl w:val="0"/>
                    <w:autoSpaceDE w:val="0"/>
                    <w:autoSpaceDN w:val="0"/>
                    <w:adjustRightInd w:val="0"/>
                    <w:rPr>
                      <w:lang w:val="en-GB"/>
                    </w:rPr>
                  </w:pPr>
                  <w:r w:rsidRPr="00E92000">
                    <w:rPr>
                      <w:lang w:val="en-GB"/>
                    </w:rPr>
                    <w:t xml:space="preserve">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Respect for difference and multiculturalism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Showing social, professional and ethical responsibility and sensitivity to gender issues </w:t>
                  </w:r>
                </w:p>
                <w:p w:rsidR="00E92000" w:rsidRPr="00E92000" w:rsidRDefault="00E92000" w:rsidP="00E92000">
                  <w:pPr>
                    <w:pStyle w:val="a3"/>
                    <w:widowControl w:val="0"/>
                    <w:numPr>
                      <w:ilvl w:val="0"/>
                      <w:numId w:val="3"/>
                    </w:numPr>
                    <w:autoSpaceDE w:val="0"/>
                    <w:autoSpaceDN w:val="0"/>
                    <w:adjustRightInd w:val="0"/>
                    <w:rPr>
                      <w:lang w:val="en-GB"/>
                    </w:rPr>
                  </w:pPr>
                  <w:r w:rsidRPr="00E92000">
                    <w:rPr>
                      <w:lang w:val="en-GB"/>
                    </w:rPr>
                    <w:t xml:space="preserve">Criticism and self-criticism </w:t>
                  </w:r>
                </w:p>
                <w:p w:rsidR="00E92000" w:rsidRPr="00E92000" w:rsidRDefault="00E92000" w:rsidP="00E92000">
                  <w:pPr>
                    <w:pStyle w:val="a3"/>
                    <w:numPr>
                      <w:ilvl w:val="0"/>
                      <w:numId w:val="3"/>
                    </w:numPr>
                    <w:rPr>
                      <w:lang w:val="en-GB"/>
                    </w:rPr>
                  </w:pPr>
                  <w:r w:rsidRPr="00E92000">
                    <w:rPr>
                      <w:lang w:val="en-GB"/>
                    </w:rPr>
                    <w:t>Production of free, creative and inductive thinking</w:t>
                  </w:r>
                </w:p>
                <w:p w:rsidR="00E92000" w:rsidRPr="00E92000" w:rsidRDefault="00E92000" w:rsidP="00E92000">
                  <w:pPr>
                    <w:ind w:left="360"/>
                    <w:rPr>
                      <w:lang w:val="en-GB"/>
                    </w:rPr>
                  </w:pPr>
                </w:p>
              </w:tc>
            </w:tr>
          </w:tbl>
          <w:p w:rsidR="006A5903" w:rsidRPr="0093598A" w:rsidRDefault="006A5903" w:rsidP="006A5903">
            <w:pPr>
              <w:rPr>
                <w:rFonts w:ascii="Calibri" w:hAnsi="Calibri" w:cs="Arial"/>
                <w:color w:val="002060"/>
                <w:sz w:val="20"/>
                <w:szCs w:val="20"/>
              </w:rPr>
            </w:pPr>
          </w:p>
          <w:p w:rsidR="006A5903" w:rsidRPr="0093598A" w:rsidRDefault="006A5903" w:rsidP="006A5903">
            <w:pPr>
              <w:widowControl w:val="0"/>
              <w:autoSpaceDE w:val="0"/>
              <w:autoSpaceDN w:val="0"/>
              <w:adjustRightInd w:val="0"/>
              <w:rPr>
                <w:rFonts w:ascii="Calibri" w:eastAsia="Calibri" w:hAnsi="Calibri"/>
                <w:color w:val="002060"/>
              </w:rPr>
            </w:pPr>
          </w:p>
          <w:p w:rsidR="006A5903" w:rsidRPr="0093598A" w:rsidRDefault="006A5903" w:rsidP="006A5903">
            <w:pPr>
              <w:widowControl w:val="0"/>
              <w:autoSpaceDE w:val="0"/>
              <w:autoSpaceDN w:val="0"/>
              <w:adjustRightInd w:val="0"/>
              <w:rPr>
                <w:rFonts w:ascii="Calibri" w:eastAsia="Calibri" w:hAnsi="Calibri"/>
                <w:color w:val="002060"/>
              </w:rPr>
            </w:pPr>
          </w:p>
          <w:p w:rsidR="006A5903" w:rsidRPr="0093598A" w:rsidRDefault="006A5903" w:rsidP="006A5903">
            <w:pPr>
              <w:widowControl w:val="0"/>
              <w:autoSpaceDE w:val="0"/>
              <w:autoSpaceDN w:val="0"/>
              <w:adjustRightInd w:val="0"/>
              <w:rPr>
                <w:rFonts w:ascii="Calibri" w:eastAsia="Calibri" w:hAnsi="Calibri"/>
                <w:color w:val="002060"/>
              </w:rPr>
            </w:pPr>
          </w:p>
          <w:p w:rsidR="006A5903" w:rsidRPr="0093598A" w:rsidRDefault="006A5903" w:rsidP="006A5903">
            <w:pPr>
              <w:widowControl w:val="0"/>
              <w:autoSpaceDE w:val="0"/>
              <w:autoSpaceDN w:val="0"/>
              <w:adjustRightInd w:val="0"/>
              <w:rPr>
                <w:rFonts w:ascii="Calibri" w:eastAsia="Calibri" w:hAnsi="Calibri"/>
                <w:color w:val="002060"/>
              </w:rPr>
            </w:pPr>
          </w:p>
          <w:p w:rsidR="006A5903" w:rsidRPr="0093598A" w:rsidRDefault="006A5903" w:rsidP="006A5903">
            <w:pPr>
              <w:widowControl w:val="0"/>
              <w:autoSpaceDE w:val="0"/>
              <w:autoSpaceDN w:val="0"/>
              <w:adjustRightInd w:val="0"/>
              <w:rPr>
                <w:rFonts w:ascii="Calibri" w:eastAsia="Calibri" w:hAnsi="Calibri"/>
                <w:color w:val="002060"/>
              </w:rPr>
            </w:pPr>
          </w:p>
          <w:p w:rsidR="006A5903" w:rsidRPr="0093598A" w:rsidRDefault="006A5903" w:rsidP="006A5903">
            <w:pPr>
              <w:widowControl w:val="0"/>
              <w:autoSpaceDE w:val="0"/>
              <w:autoSpaceDN w:val="0"/>
              <w:adjustRightInd w:val="0"/>
              <w:rPr>
                <w:rFonts w:ascii="Calibri" w:eastAsia="Calibri" w:hAnsi="Calibri"/>
                <w:color w:val="002060"/>
              </w:rPr>
            </w:pPr>
          </w:p>
          <w:p w:rsidR="006A5903" w:rsidRPr="0093598A" w:rsidRDefault="006A5903" w:rsidP="006A5903">
            <w:pPr>
              <w:widowControl w:val="0"/>
              <w:autoSpaceDE w:val="0"/>
              <w:autoSpaceDN w:val="0"/>
              <w:adjustRightInd w:val="0"/>
              <w:rPr>
                <w:rFonts w:ascii="Calibri" w:eastAsia="Calibri" w:hAnsi="Calibri"/>
                <w:color w:val="002060"/>
              </w:rPr>
            </w:pPr>
          </w:p>
          <w:p w:rsidR="006A5903" w:rsidRPr="0093598A" w:rsidRDefault="006A5903" w:rsidP="006A5903">
            <w:pPr>
              <w:widowControl w:val="0"/>
              <w:autoSpaceDE w:val="0"/>
              <w:autoSpaceDN w:val="0"/>
              <w:adjustRightInd w:val="0"/>
              <w:rPr>
                <w:rFonts w:ascii="Calibri" w:eastAsia="Calibri" w:hAnsi="Calibri"/>
                <w:color w:val="002060"/>
              </w:rPr>
            </w:pPr>
          </w:p>
          <w:p w:rsidR="006A5903" w:rsidRPr="0093598A" w:rsidRDefault="006A5903" w:rsidP="006A5903">
            <w:pPr>
              <w:widowControl w:val="0"/>
              <w:autoSpaceDE w:val="0"/>
              <w:autoSpaceDN w:val="0"/>
              <w:adjustRightInd w:val="0"/>
              <w:rPr>
                <w:rFonts w:ascii="Calibri" w:eastAsia="Calibri" w:hAnsi="Calibri"/>
                <w:color w:val="002060"/>
              </w:rPr>
            </w:pPr>
          </w:p>
          <w:p w:rsidR="006A5903" w:rsidRPr="0093598A" w:rsidRDefault="006A5903" w:rsidP="006A5903">
            <w:pPr>
              <w:widowControl w:val="0"/>
              <w:autoSpaceDE w:val="0"/>
              <w:autoSpaceDN w:val="0"/>
              <w:adjustRightInd w:val="0"/>
              <w:rPr>
                <w:rFonts w:ascii="Calibri" w:eastAsia="Calibri" w:hAnsi="Calibri"/>
                <w:color w:val="002060"/>
              </w:rPr>
            </w:pPr>
          </w:p>
          <w:p w:rsidR="006A5903" w:rsidRPr="0093598A" w:rsidRDefault="006A5903" w:rsidP="006A5903">
            <w:pPr>
              <w:widowControl w:val="0"/>
              <w:autoSpaceDE w:val="0"/>
              <w:autoSpaceDN w:val="0"/>
              <w:adjustRightInd w:val="0"/>
              <w:rPr>
                <w:rFonts w:ascii="Calibri" w:eastAsia="Calibri" w:hAnsi="Calibri"/>
                <w:color w:val="002060"/>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BD4735" w:rsidRPr="004A5108" w:rsidRDefault="00BD4735" w:rsidP="00BD4735">
            <w:pPr>
              <w:pStyle w:val="a4"/>
              <w:spacing w:after="0"/>
              <w:jc w:val="both"/>
              <w:rPr>
                <w:sz w:val="24"/>
                <w:szCs w:val="24"/>
              </w:rPr>
            </w:pPr>
            <w:r w:rsidRPr="004A5108">
              <w:rPr>
                <w:sz w:val="24"/>
                <w:szCs w:val="24"/>
              </w:rPr>
              <w:t>This course discusses the social dimensions of language. It presents seminal so</w:t>
            </w:r>
            <w:r>
              <w:rPr>
                <w:sz w:val="24"/>
                <w:szCs w:val="24"/>
              </w:rPr>
              <w:t>ciolinguistic paradigms and methodological choices</w:t>
            </w:r>
            <w:r w:rsidRPr="004A5108">
              <w:rPr>
                <w:sz w:val="24"/>
                <w:szCs w:val="24"/>
              </w:rPr>
              <w:t xml:space="preserve"> within sociolinguistic and ethnographic research. It also presents topics on the analysis of gender and language, child discourse and institutional discourse.</w:t>
            </w:r>
          </w:p>
          <w:p w:rsidR="00BD4735" w:rsidRPr="004A5108" w:rsidRDefault="00BD4735" w:rsidP="00BD4735">
            <w:pPr>
              <w:pStyle w:val="a4"/>
              <w:spacing w:after="0"/>
              <w:jc w:val="both"/>
              <w:rPr>
                <w:sz w:val="24"/>
                <w:szCs w:val="24"/>
              </w:rPr>
            </w:pPr>
          </w:p>
          <w:p w:rsidR="00BD4735" w:rsidRPr="004A5108" w:rsidRDefault="00BD4735" w:rsidP="00BD4735">
            <w:pPr>
              <w:pStyle w:val="a4"/>
              <w:spacing w:after="0"/>
              <w:jc w:val="both"/>
              <w:rPr>
                <w:sz w:val="24"/>
                <w:szCs w:val="24"/>
              </w:rPr>
            </w:pPr>
            <w:r w:rsidRPr="004A5108">
              <w:rPr>
                <w:b/>
                <w:sz w:val="24"/>
                <w:szCs w:val="24"/>
              </w:rPr>
              <w:t>Key words</w:t>
            </w:r>
            <w:r w:rsidRPr="004A5108">
              <w:rPr>
                <w:sz w:val="24"/>
                <w:szCs w:val="24"/>
              </w:rPr>
              <w:t>: language, society, sociolinguistics, linguistic relativity, gender, language sexism, discourse analysis</w:t>
            </w:r>
          </w:p>
          <w:p w:rsidR="00C36535" w:rsidRPr="00BD4735" w:rsidRDefault="00C36535" w:rsidP="00C27913">
            <w:pPr>
              <w:rPr>
                <w:rFonts w:ascii="Calibri" w:eastAsia="Calibri" w:hAnsi="Calibri"/>
                <w:iCs/>
                <w:color w:val="002060"/>
              </w:rPr>
            </w:pPr>
          </w:p>
          <w:p w:rsidR="00CC1EC5" w:rsidRPr="00C36535" w:rsidRDefault="00CC1EC5" w:rsidP="00C36535">
            <w:pPr>
              <w:pStyle w:val="a3"/>
              <w:rPr>
                <w:rFonts w:asciiTheme="majorHAnsi" w:hAnsiTheme="majorHAnsi" w:cs="Arial"/>
                <w:color w:val="002060"/>
                <w:sz w:val="20"/>
                <w:szCs w:val="20"/>
                <w:lang w:val="en-GB"/>
              </w:rPr>
            </w:pPr>
          </w:p>
        </w:tc>
      </w:tr>
    </w:tbl>
    <w:p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6403CB" w:rsidRDefault="005C35D5" w:rsidP="00E30CBA">
            <w:pPr>
              <w:spacing w:after="200" w:line="276" w:lineRule="auto"/>
              <w:rPr>
                <w:rFonts w:asciiTheme="majorHAnsi" w:eastAsia="Calibri" w:hAnsiTheme="majorHAnsi"/>
                <w:iCs/>
                <w:color w:val="002060"/>
                <w:lang w:val="en-GB"/>
              </w:rPr>
            </w:pPr>
            <w:r>
              <w:rPr>
                <w:rFonts w:asciiTheme="majorHAnsi" w:eastAsia="Calibri" w:hAnsiTheme="majorHAnsi"/>
                <w:i/>
                <w:iCs/>
                <w:color w:val="00206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5C35D5" w:rsidRDefault="005C35D5" w:rsidP="00E30CBA">
            <w:pPr>
              <w:rPr>
                <w:rFonts w:asciiTheme="majorHAnsi" w:hAnsiTheme="majorHAnsi" w:cs="Arial"/>
                <w:b/>
                <w:color w:val="002060"/>
                <w:sz w:val="20"/>
                <w:szCs w:val="20"/>
              </w:rPr>
            </w:pPr>
            <w:r>
              <w:rPr>
                <w:rFonts w:asciiTheme="majorHAnsi" w:hAnsiTheme="majorHAnsi" w:cs="Arial"/>
                <w:b/>
                <w:color w:val="002060"/>
                <w:sz w:val="20"/>
                <w:szCs w:val="20"/>
              </w:rPr>
              <w:t>yes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rsidTr="00E30CBA">
              <w:tc>
                <w:tcPr>
                  <w:tcW w:w="2467" w:type="dxa"/>
                </w:tcPr>
                <w:p w:rsidR="00CC1EC5" w:rsidRPr="006403CB" w:rsidRDefault="00C27913" w:rsidP="00E30CBA">
                  <w:pPr>
                    <w:rPr>
                      <w:rFonts w:asciiTheme="majorHAnsi" w:hAnsiTheme="majorHAnsi"/>
                      <w:iCs/>
                      <w:color w:val="002060"/>
                      <w:sz w:val="22"/>
                      <w:szCs w:val="22"/>
                      <w:lang w:val="en-GB"/>
                    </w:rPr>
                  </w:pPr>
                  <w:r>
                    <w:rPr>
                      <w:rFonts w:ascii="Calibri" w:hAnsi="Calibri" w:cs="Calibri"/>
                      <w:b/>
                      <w:bCs/>
                      <w:color w:val="000000"/>
                      <w:sz w:val="20"/>
                      <w:szCs w:val="20"/>
                    </w:rPr>
                    <w:t>lectures  </w:t>
                  </w:r>
                </w:p>
              </w:tc>
              <w:tc>
                <w:tcPr>
                  <w:tcW w:w="2468" w:type="dxa"/>
                </w:tcPr>
                <w:p w:rsidR="00CC1EC5" w:rsidRPr="006403CB" w:rsidRDefault="00C27913" w:rsidP="00E30CBA">
                  <w:pPr>
                    <w:jc w:val="center"/>
                    <w:rPr>
                      <w:rFonts w:asciiTheme="majorHAnsi" w:hAnsiTheme="majorHAnsi" w:cs="Arial"/>
                      <w:color w:val="002060"/>
                      <w:sz w:val="20"/>
                      <w:szCs w:val="20"/>
                      <w:lang w:val="en-GB"/>
                    </w:rPr>
                  </w:pPr>
                  <w:r>
                    <w:rPr>
                      <w:rFonts w:ascii="Calibri" w:hAnsi="Calibri" w:cs="Calibri"/>
                      <w:b/>
                      <w:bCs/>
                      <w:color w:val="000000"/>
                      <w:sz w:val="20"/>
                      <w:szCs w:val="20"/>
                    </w:rPr>
                    <w:t>1.56 ECTS</w:t>
                  </w:r>
                </w:p>
              </w:tc>
            </w:tr>
            <w:tr w:rsidR="00CC1EC5" w:rsidRPr="006403CB" w:rsidTr="00E30CBA">
              <w:tc>
                <w:tcPr>
                  <w:tcW w:w="2467" w:type="dxa"/>
                  <w:shd w:val="clear" w:color="auto" w:fill="auto"/>
                </w:tcPr>
                <w:p w:rsidR="00CC1EC5" w:rsidRPr="006403CB" w:rsidRDefault="00C27913" w:rsidP="00E30CBA">
                  <w:pPr>
                    <w:rPr>
                      <w:rFonts w:asciiTheme="majorHAnsi" w:hAnsiTheme="majorHAnsi"/>
                      <w:iCs/>
                      <w:color w:val="002060"/>
                      <w:sz w:val="22"/>
                      <w:szCs w:val="22"/>
                      <w:lang w:val="en-GB"/>
                    </w:rPr>
                  </w:pPr>
                  <w:r>
                    <w:rPr>
                      <w:rFonts w:ascii="Calibri" w:hAnsi="Calibri" w:cs="Calibri"/>
                      <w:b/>
                      <w:bCs/>
                      <w:color w:val="000000"/>
                      <w:sz w:val="20"/>
                      <w:szCs w:val="20"/>
                    </w:rPr>
                    <w:t>personal</w:t>
                  </w:r>
                  <w:r>
                    <w:rPr>
                      <w:rStyle w:val="apple-converted-space"/>
                      <w:rFonts w:ascii="Calibri" w:hAnsi="Calibri" w:cs="Calibri"/>
                      <w:b/>
                      <w:bCs/>
                      <w:color w:val="000000"/>
                      <w:sz w:val="20"/>
                      <w:szCs w:val="20"/>
                    </w:rPr>
                    <w:t> </w:t>
                  </w:r>
                  <w:r>
                    <w:rPr>
                      <w:rFonts w:ascii="Calibri" w:hAnsi="Calibri" w:cs="Calibri"/>
                      <w:b/>
                      <w:bCs/>
                      <w:color w:val="000000"/>
                      <w:sz w:val="20"/>
                      <w:szCs w:val="20"/>
                    </w:rPr>
                    <w:t>study</w:t>
                  </w:r>
                </w:p>
              </w:tc>
              <w:tc>
                <w:tcPr>
                  <w:tcW w:w="2468" w:type="dxa"/>
                </w:tcPr>
                <w:p w:rsidR="00CC1EC5" w:rsidRPr="006403CB" w:rsidRDefault="00C27913" w:rsidP="00E30CBA">
                  <w:pPr>
                    <w:jc w:val="center"/>
                    <w:rPr>
                      <w:rFonts w:asciiTheme="majorHAnsi" w:hAnsiTheme="majorHAnsi" w:cs="Arial"/>
                      <w:color w:val="002060"/>
                      <w:sz w:val="20"/>
                      <w:szCs w:val="20"/>
                      <w:lang w:val="en-GB"/>
                    </w:rPr>
                  </w:pPr>
                  <w:r>
                    <w:rPr>
                      <w:rFonts w:ascii="Calibri" w:hAnsi="Calibri" w:cs="Calibri"/>
                      <w:b/>
                      <w:bCs/>
                      <w:color w:val="000000"/>
                      <w:sz w:val="20"/>
                      <w:szCs w:val="20"/>
                    </w:rPr>
                    <w:t>1.32 ECTS</w:t>
                  </w:r>
                </w:p>
              </w:tc>
            </w:tr>
            <w:tr w:rsidR="00CC1EC5" w:rsidRPr="006403CB" w:rsidTr="00E30CBA">
              <w:tc>
                <w:tcPr>
                  <w:tcW w:w="2467" w:type="dxa"/>
                  <w:shd w:val="clear" w:color="auto" w:fill="auto"/>
                </w:tcPr>
                <w:p w:rsidR="00CC1EC5" w:rsidRPr="006403CB" w:rsidRDefault="00C27913" w:rsidP="00E30CBA">
                  <w:pPr>
                    <w:rPr>
                      <w:rFonts w:asciiTheme="majorHAnsi" w:hAnsiTheme="majorHAnsi"/>
                      <w:iCs/>
                      <w:color w:val="002060"/>
                      <w:sz w:val="22"/>
                      <w:szCs w:val="22"/>
                      <w:lang w:val="en-GB"/>
                    </w:rPr>
                  </w:pPr>
                  <w:r>
                    <w:rPr>
                      <w:rFonts w:ascii="Calibri" w:hAnsi="Calibri" w:cs="Calibri"/>
                      <w:b/>
                      <w:bCs/>
                      <w:color w:val="000000"/>
                      <w:sz w:val="20"/>
                      <w:szCs w:val="20"/>
                    </w:rPr>
                    <w:t>assignment   </w:t>
                  </w:r>
                </w:p>
              </w:tc>
              <w:tc>
                <w:tcPr>
                  <w:tcW w:w="2468" w:type="dxa"/>
                </w:tcPr>
                <w:p w:rsidR="00CC1EC5" w:rsidRPr="006403CB" w:rsidRDefault="00C27913" w:rsidP="00E30CBA">
                  <w:pPr>
                    <w:jc w:val="center"/>
                    <w:rPr>
                      <w:rFonts w:asciiTheme="majorHAnsi" w:hAnsiTheme="majorHAnsi" w:cs="Arial"/>
                      <w:color w:val="002060"/>
                      <w:sz w:val="20"/>
                      <w:szCs w:val="20"/>
                      <w:lang w:val="en-GB"/>
                    </w:rPr>
                  </w:pPr>
                  <w:r>
                    <w:rPr>
                      <w:rFonts w:ascii="Calibri" w:hAnsi="Calibri" w:cs="Calibri"/>
                      <w:b/>
                      <w:bCs/>
                      <w:color w:val="000000"/>
                      <w:sz w:val="20"/>
                      <w:szCs w:val="20"/>
                    </w:rPr>
                    <w:t>2 ECTS</w:t>
                  </w:r>
                </w:p>
              </w:tc>
            </w:tr>
            <w:tr w:rsidR="00CC1EC5" w:rsidRPr="006403CB" w:rsidTr="00E30CBA">
              <w:tc>
                <w:tcPr>
                  <w:tcW w:w="2467" w:type="dxa"/>
                  <w:shd w:val="clear" w:color="auto" w:fill="auto"/>
                </w:tcPr>
                <w:p w:rsidR="00CC1EC5" w:rsidRPr="006403CB" w:rsidRDefault="00C27913" w:rsidP="00E30CBA">
                  <w:pPr>
                    <w:rPr>
                      <w:rFonts w:asciiTheme="majorHAnsi" w:hAnsiTheme="majorHAnsi"/>
                      <w:iCs/>
                      <w:color w:val="002060"/>
                      <w:sz w:val="22"/>
                      <w:szCs w:val="22"/>
                      <w:lang w:val="en-GB"/>
                    </w:rPr>
                  </w:pPr>
                  <w:r>
                    <w:rPr>
                      <w:rFonts w:ascii="Calibri" w:hAnsi="Calibri" w:cs="Calibri"/>
                      <w:b/>
                      <w:bCs/>
                      <w:color w:val="000000"/>
                      <w:sz w:val="20"/>
                      <w:szCs w:val="20"/>
                    </w:rPr>
                    <w:t>end of semester exam</w:t>
                  </w:r>
                </w:p>
              </w:tc>
              <w:tc>
                <w:tcPr>
                  <w:tcW w:w="2468" w:type="dxa"/>
                </w:tcPr>
                <w:p w:rsidR="00CC1EC5" w:rsidRPr="006403CB" w:rsidRDefault="00C27913" w:rsidP="00E30CBA">
                  <w:pPr>
                    <w:jc w:val="center"/>
                    <w:rPr>
                      <w:rFonts w:asciiTheme="majorHAnsi" w:hAnsiTheme="majorHAnsi" w:cs="Arial"/>
                      <w:color w:val="002060"/>
                      <w:sz w:val="20"/>
                      <w:szCs w:val="20"/>
                      <w:lang w:val="en-GB"/>
                    </w:rPr>
                  </w:pPr>
                  <w:r>
                    <w:rPr>
                      <w:rFonts w:ascii="Calibri" w:hAnsi="Calibri" w:cs="Calibri"/>
                      <w:b/>
                      <w:bCs/>
                      <w:color w:val="000000"/>
                      <w:sz w:val="20"/>
                      <w:szCs w:val="20"/>
                    </w:rPr>
                    <w:t>0.12 ECTS</w:t>
                  </w: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Pr="006403CB" w:rsidRDefault="00CC1EC5" w:rsidP="00E30CBA">
                  <w:pPr>
                    <w:rPr>
                      <w:rFonts w:asciiTheme="majorHAnsi" w:hAnsiTheme="majorHAnsi"/>
                      <w:iCs/>
                      <w:color w:val="002060"/>
                      <w:sz w:val="22"/>
                      <w:szCs w:val="22"/>
                      <w:lang w:val="en-GB"/>
                    </w:rPr>
                  </w:pPr>
                  <w:r w:rsidRPr="006403CB">
                    <w:rPr>
                      <w:rFonts w:asciiTheme="majorHAnsi" w:hAnsiTheme="majorHAnsi"/>
                      <w:iCs/>
                      <w:color w:val="002060"/>
                      <w:sz w:val="22"/>
                      <w:szCs w:val="22"/>
                      <w:lang w:val="en-GB"/>
                    </w:rPr>
                    <w:t xml:space="preserve">Course total </w:t>
                  </w:r>
                </w:p>
              </w:tc>
              <w:tc>
                <w:tcPr>
                  <w:tcW w:w="2468" w:type="dxa"/>
                  <w:vAlign w:val="center"/>
                </w:tcPr>
                <w:p w:rsidR="00CC1EC5" w:rsidRPr="006403CB" w:rsidRDefault="00C27913" w:rsidP="00E30CBA">
                  <w:pPr>
                    <w:jc w:val="center"/>
                    <w:rPr>
                      <w:rFonts w:asciiTheme="majorHAnsi" w:hAnsiTheme="majorHAnsi" w:cs="Arial"/>
                      <w:b/>
                      <w:i/>
                      <w:color w:val="002060"/>
                      <w:sz w:val="20"/>
                      <w:szCs w:val="20"/>
                      <w:lang w:val="en-GB"/>
                    </w:rPr>
                  </w:pPr>
                  <w:r>
                    <w:rPr>
                      <w:rFonts w:ascii="Calibri" w:hAnsi="Calibri" w:cs="Calibri"/>
                      <w:b/>
                      <w:bCs/>
                      <w:color w:val="000000"/>
                      <w:sz w:val="20"/>
                      <w:szCs w:val="20"/>
                    </w:rPr>
                    <w:t>5 ECTS</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232652" w:rsidRDefault="00232652" w:rsidP="00232652">
            <w:pPr>
              <w:pStyle w:val="a3"/>
              <w:numPr>
                <w:ilvl w:val="0"/>
                <w:numId w:val="4"/>
              </w:numPr>
              <w:spacing w:after="200" w:line="276" w:lineRule="auto"/>
            </w:pPr>
            <w:r>
              <w:t>Assignement presentation</w:t>
            </w:r>
            <w:r w:rsidRPr="00723695">
              <w:rPr>
                <w:lang w:val="el-GR"/>
              </w:rPr>
              <w:t xml:space="preserve"> (</w:t>
            </w:r>
            <w:r w:rsidRPr="00723695">
              <w:t>project</w:t>
            </w:r>
            <w:r w:rsidRPr="00723695">
              <w:rPr>
                <w:lang w:val="el-GR"/>
              </w:rPr>
              <w:t>)</w:t>
            </w:r>
          </w:p>
          <w:p w:rsidR="00232652" w:rsidRPr="00232652" w:rsidRDefault="00232652" w:rsidP="00232652">
            <w:pPr>
              <w:pStyle w:val="a3"/>
              <w:numPr>
                <w:ilvl w:val="0"/>
                <w:numId w:val="4"/>
              </w:numPr>
              <w:spacing w:after="200" w:line="276" w:lineRule="auto"/>
            </w:pPr>
            <w:r w:rsidRPr="00232652">
              <w:t xml:space="preserve">End of semester exam </w:t>
            </w:r>
            <w:r w:rsidRPr="00232652">
              <w:rPr>
                <w:i/>
              </w:rPr>
              <w:t>(</w:t>
            </w:r>
            <w:r w:rsidRPr="00232652">
              <w:rPr>
                <w:i/>
                <w:lang w:val="en-GB"/>
              </w:rPr>
              <w:t xml:space="preserve">multiple choice questionnaires, short-answer </w:t>
            </w:r>
            <w:r>
              <w:rPr>
                <w:i/>
                <w:lang w:val="en-GB"/>
              </w:rPr>
              <w:t>questions, open-ended questions</w:t>
            </w:r>
            <w:r w:rsidRPr="00232652">
              <w:rPr>
                <w:i/>
              </w:rPr>
              <w:t>)</w:t>
            </w:r>
          </w:p>
          <w:p w:rsidR="00232652" w:rsidRPr="00232652" w:rsidRDefault="00232652" w:rsidP="00232652">
            <w:pPr>
              <w:ind w:left="360"/>
            </w:pPr>
            <w:r>
              <w:rPr>
                <w:lang w:val="el-GR"/>
              </w:rPr>
              <w:t>Language of evaluation: Gree</w:t>
            </w:r>
            <w:r>
              <w:t>k</w:t>
            </w:r>
          </w:p>
          <w:p w:rsidR="00232652" w:rsidRDefault="00232652" w:rsidP="00232652">
            <w:pPr>
              <w:rPr>
                <w:rFonts w:ascii="Calibri" w:hAnsi="Calibri" w:cs="Arial"/>
                <w:color w:val="002060"/>
                <w:lang w:val="el-GR"/>
              </w:rPr>
            </w:pPr>
          </w:p>
          <w:p w:rsidR="00CC1EC5" w:rsidRPr="006403CB" w:rsidRDefault="00CC1EC5" w:rsidP="00E30CBA">
            <w:pPr>
              <w:rPr>
                <w:rFonts w:asciiTheme="majorHAnsi" w:hAnsiTheme="majorHAnsi" w:cs="Arial"/>
                <w:color w:val="002060"/>
                <w:lang w:val="en-GB"/>
              </w:rPr>
            </w:pPr>
          </w:p>
          <w:p w:rsidR="00CC1EC5" w:rsidRPr="006403CB" w:rsidRDefault="00C27913" w:rsidP="00E30CBA">
            <w:pPr>
              <w:rPr>
                <w:rFonts w:asciiTheme="majorHAnsi" w:hAnsiTheme="majorHAnsi" w:cs="Arial"/>
                <w:color w:val="002060"/>
                <w:lang w:val="en-GB"/>
              </w:rPr>
            </w:pPr>
            <w:r>
              <w:rPr>
                <w:rFonts w:ascii="Calibri" w:hAnsi="Calibri" w:cs="Calibri"/>
                <w:b/>
                <w:bCs/>
                <w:color w:val="000000"/>
                <w:sz w:val="20"/>
                <w:szCs w:val="20"/>
              </w:rPr>
              <w:br/>
            </w: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E92000" w:rsidRPr="00E92000" w:rsidRDefault="00E92000" w:rsidP="00E92000">
            <w:pPr>
              <w:ind w:left="425" w:hanging="425"/>
              <w:jc w:val="both"/>
            </w:pPr>
            <w:r>
              <w:t>IN GREEK</w:t>
            </w:r>
          </w:p>
          <w:p w:rsidR="00E92000" w:rsidRPr="00E92000" w:rsidRDefault="00E92000" w:rsidP="00E92000">
            <w:pPr>
              <w:ind w:left="425" w:hanging="425"/>
              <w:jc w:val="both"/>
              <w:rPr>
                <w:lang w:val="el-GR"/>
              </w:rPr>
            </w:pPr>
            <w:r w:rsidRPr="00E92000">
              <w:rPr>
                <w:lang w:val="el-GR"/>
              </w:rPr>
              <w:t xml:space="preserve">Αρχάκης, Α. &amp; Κονδύλη, Μ. (2004) </w:t>
            </w:r>
            <w:r w:rsidRPr="00E92000">
              <w:rPr>
                <w:i/>
                <w:lang w:val="el-GR"/>
              </w:rPr>
              <w:t xml:space="preserve">Εισαγωγή σε Ζητήματα Κοινωνιογλωσσολογίας. </w:t>
            </w:r>
            <w:r w:rsidRPr="00E92000">
              <w:rPr>
                <w:lang w:val="el-GR"/>
              </w:rPr>
              <w:t>Αθήνα: Νήσος.</w:t>
            </w:r>
          </w:p>
          <w:p w:rsidR="00E92000" w:rsidRPr="00E92000" w:rsidRDefault="00E92000" w:rsidP="00E92000">
            <w:pPr>
              <w:ind w:left="425" w:hanging="425"/>
              <w:jc w:val="both"/>
              <w:rPr>
                <w:i/>
                <w:lang w:val="el-GR"/>
              </w:rPr>
            </w:pPr>
            <w:r w:rsidRPr="00E92000">
              <w:rPr>
                <w:lang w:val="el-GR"/>
              </w:rPr>
              <w:t>Κωστούλα- Μακράκη, Ν. (2001) Γλώσσα και Κοινωνία: Βασικές Έννοιες. Αθήνα: Μεταίχμιο.</w:t>
            </w:r>
          </w:p>
          <w:p w:rsidR="00E92000" w:rsidRDefault="00E92000" w:rsidP="00E92000">
            <w:pPr>
              <w:ind w:left="425" w:hanging="425"/>
              <w:jc w:val="both"/>
              <w:rPr>
                <w:lang w:val="el-GR"/>
              </w:rPr>
            </w:pPr>
            <w:r w:rsidRPr="00E92000">
              <w:rPr>
                <w:lang w:val="el-GR"/>
              </w:rPr>
              <w:lastRenderedPageBreak/>
              <w:t xml:space="preserve">Χριστίδης, Α. – Φ. (επιμ.) (2001) </w:t>
            </w:r>
            <w:r w:rsidRPr="00E92000">
              <w:rPr>
                <w:i/>
                <w:lang w:val="el-GR"/>
              </w:rPr>
              <w:t>Εγκυκλοπαιδικός Οδηγός για τη Γλώσσα</w:t>
            </w:r>
            <w:r w:rsidRPr="00E92000">
              <w:rPr>
                <w:iCs/>
                <w:lang w:val="el-GR"/>
              </w:rPr>
              <w:t>.</w:t>
            </w:r>
            <w:r w:rsidRPr="00E92000">
              <w:rPr>
                <w:lang w:val="el-GR"/>
              </w:rPr>
              <w:t xml:space="preserve"> Θεσσαλονίκη: Κέντρο Ελληνικής Γλώσσας.</w:t>
            </w:r>
          </w:p>
          <w:p w:rsidR="00E92000" w:rsidRDefault="00E92000" w:rsidP="00E92000">
            <w:pPr>
              <w:ind w:left="425" w:hanging="425"/>
              <w:jc w:val="both"/>
              <w:rPr>
                <w:lang w:val="el-GR"/>
              </w:rPr>
            </w:pPr>
          </w:p>
          <w:p w:rsidR="00E92000" w:rsidRPr="0093598A" w:rsidRDefault="00E92000" w:rsidP="00E92000">
            <w:pPr>
              <w:ind w:left="425" w:hanging="425"/>
              <w:jc w:val="both"/>
              <w:rPr>
                <w:lang w:val="el-GR"/>
              </w:rPr>
            </w:pPr>
            <w:r>
              <w:t>IN</w:t>
            </w:r>
            <w:r w:rsidRPr="0093598A">
              <w:rPr>
                <w:lang w:val="el-GR"/>
              </w:rPr>
              <w:t xml:space="preserve"> </w:t>
            </w:r>
            <w:r>
              <w:t>ENGLISH</w:t>
            </w:r>
          </w:p>
          <w:p w:rsidR="00E92000" w:rsidRDefault="00E92000" w:rsidP="00E92000">
            <w:pPr>
              <w:ind w:left="425" w:hanging="425"/>
              <w:jc w:val="both"/>
            </w:pPr>
            <w:r w:rsidRPr="004A5108">
              <w:t>Andersen</w:t>
            </w:r>
            <w:r w:rsidRPr="00E92000">
              <w:rPr>
                <w:lang w:val="el-GR"/>
              </w:rPr>
              <w:t>-</w:t>
            </w:r>
            <w:r w:rsidRPr="004A5108">
              <w:t>Slosberg</w:t>
            </w:r>
            <w:r w:rsidRPr="00E92000">
              <w:rPr>
                <w:lang w:val="el-GR"/>
              </w:rPr>
              <w:t xml:space="preserve">, </w:t>
            </w:r>
            <w:r w:rsidRPr="004A5108">
              <w:t>E</w:t>
            </w:r>
            <w:r w:rsidRPr="00E92000">
              <w:rPr>
                <w:lang w:val="el-GR"/>
              </w:rPr>
              <w:t>. 199</w:t>
            </w:r>
            <w:r w:rsidRPr="004A5108">
              <w:t>O</w:t>
            </w:r>
            <w:r w:rsidRPr="00E92000">
              <w:rPr>
                <w:lang w:val="el-GR"/>
              </w:rPr>
              <w:t xml:space="preserve">. </w:t>
            </w:r>
            <w:r w:rsidRPr="004A5108">
              <w:rPr>
                <w:i/>
              </w:rPr>
              <w:t>Speaking with Style. The Sociolinguistic Skills of Children.</w:t>
            </w:r>
            <w:r>
              <w:t xml:space="preserve"> London: Routledge</w:t>
            </w:r>
          </w:p>
          <w:p w:rsidR="00E92000" w:rsidRDefault="00E92000" w:rsidP="00E92000">
            <w:pPr>
              <w:ind w:left="425" w:hanging="425"/>
              <w:jc w:val="both"/>
            </w:pPr>
            <w:r w:rsidRPr="004A5108">
              <w:t xml:space="preserve">Bernstein, B. 1971. </w:t>
            </w:r>
            <w:r w:rsidRPr="004A5108">
              <w:rPr>
                <w:i/>
              </w:rPr>
              <w:t>Class, Codes and Control, V1: Theoretical Studies towards a Sociology of Language.</w:t>
            </w:r>
            <w:r>
              <w:t xml:space="preserve"> London: Routledge &amp; Kegan Paul</w:t>
            </w:r>
          </w:p>
          <w:p w:rsidR="00E92000" w:rsidRPr="0093598A" w:rsidRDefault="00E92000" w:rsidP="00E92000">
            <w:pPr>
              <w:ind w:left="425" w:hanging="425"/>
              <w:jc w:val="both"/>
            </w:pPr>
            <w:r w:rsidRPr="004A5108">
              <w:t xml:space="preserve">Bernstein, B. 1973: </w:t>
            </w:r>
            <w:r w:rsidRPr="004A5108">
              <w:rPr>
                <w:i/>
              </w:rPr>
              <w:t>Class, Codes and Control, V2: Empirical Studies.</w:t>
            </w:r>
            <w:r w:rsidRPr="004A5108">
              <w:t xml:space="preserve"> London: Routledge &amp; Kegan Paul.</w:t>
            </w:r>
          </w:p>
          <w:p w:rsidR="00E92000" w:rsidRDefault="00E92000" w:rsidP="00E92000">
            <w:pPr>
              <w:ind w:left="425" w:hanging="425"/>
              <w:jc w:val="both"/>
            </w:pPr>
            <w:r w:rsidRPr="004A5108">
              <w:t xml:space="preserve">Duranti, A. 1997. </w:t>
            </w:r>
            <w:r w:rsidRPr="004A5108">
              <w:rPr>
                <w:i/>
              </w:rPr>
              <w:t xml:space="preserve">Linguistic Anthropology. </w:t>
            </w:r>
            <w:r w:rsidRPr="004A5108">
              <w:t>Cambridge: Cambridge University Press.</w:t>
            </w:r>
          </w:p>
          <w:p w:rsidR="00E92000" w:rsidRDefault="00E92000" w:rsidP="00E92000">
            <w:pPr>
              <w:ind w:left="425" w:hanging="425"/>
              <w:jc w:val="both"/>
            </w:pPr>
            <w:r w:rsidRPr="004A5108">
              <w:t xml:space="preserve">Ervin-Tripp, S. &amp; Mitchell-Kernan, C. (επιμ.) 1977: </w:t>
            </w:r>
            <w:r w:rsidRPr="004A5108">
              <w:rPr>
                <w:i/>
              </w:rPr>
              <w:t>Child Discourse.</w:t>
            </w:r>
            <w:r w:rsidRPr="004A5108">
              <w:t xml:space="preserve"> London: Academic Press Inc..</w:t>
            </w:r>
          </w:p>
          <w:p w:rsidR="00E92000" w:rsidRPr="0093598A" w:rsidRDefault="00E92000" w:rsidP="00E92000">
            <w:pPr>
              <w:ind w:left="425" w:hanging="425"/>
              <w:jc w:val="both"/>
            </w:pPr>
            <w:r w:rsidRPr="004A5108">
              <w:t xml:space="preserve">Haliday, M. 1975: </w:t>
            </w:r>
            <w:r w:rsidRPr="004A5108">
              <w:rPr>
                <w:i/>
              </w:rPr>
              <w:t>Learning How to Mean: Explorations in the development of language.</w:t>
            </w:r>
            <w:r w:rsidRPr="004A5108">
              <w:t xml:space="preserve"> London: Edward Arnold.</w:t>
            </w:r>
          </w:p>
          <w:p w:rsidR="00E92000" w:rsidRPr="0093598A" w:rsidRDefault="00E92000" w:rsidP="00E92000">
            <w:pPr>
              <w:ind w:left="425" w:hanging="425"/>
              <w:jc w:val="both"/>
            </w:pPr>
            <w:r w:rsidRPr="004A5108">
              <w:t xml:space="preserve">Hymes, D. 1972: “On communicative competence”. Στους J.B. Pride &amp; J. Holmes (επιμ.), </w:t>
            </w:r>
            <w:r w:rsidRPr="004A5108">
              <w:rPr>
                <w:i/>
              </w:rPr>
              <w:t xml:space="preserve">Sociolinguistics. </w:t>
            </w:r>
            <w:r w:rsidRPr="004A5108">
              <w:t>London: Penguin.</w:t>
            </w:r>
          </w:p>
          <w:p w:rsidR="00E92000" w:rsidRPr="0093598A" w:rsidRDefault="00E92000" w:rsidP="00E92000">
            <w:pPr>
              <w:ind w:left="425" w:hanging="425"/>
              <w:jc w:val="both"/>
            </w:pPr>
            <w:r w:rsidRPr="004A5108">
              <w:t xml:space="preserve">Labov, W. 1972: </w:t>
            </w:r>
            <w:r w:rsidRPr="004A5108">
              <w:rPr>
                <w:i/>
              </w:rPr>
              <w:t>Sociolinguistic Patterns.</w:t>
            </w:r>
            <w:r w:rsidRPr="004A5108">
              <w:t xml:space="preserve"> Oxford: Blackwell.</w:t>
            </w:r>
          </w:p>
          <w:p w:rsidR="00E92000" w:rsidRPr="0093598A" w:rsidRDefault="00E92000" w:rsidP="00E92000">
            <w:pPr>
              <w:ind w:left="425" w:hanging="425"/>
              <w:jc w:val="both"/>
            </w:pPr>
            <w:r w:rsidRPr="004A5108">
              <w:t xml:space="preserve">Ochs, E. 1988: </w:t>
            </w:r>
            <w:r w:rsidRPr="004A5108">
              <w:rPr>
                <w:i/>
              </w:rPr>
              <w:t>Culture and Language Development: Language acquisition and language socialization in a Samoan village.</w:t>
            </w:r>
            <w:r w:rsidRPr="004A5108">
              <w:t xml:space="preserve"> Cambridge: Cambridge University Press.</w:t>
            </w:r>
          </w:p>
          <w:p w:rsidR="00E92000" w:rsidRPr="0093598A" w:rsidRDefault="00E92000" w:rsidP="00E92000">
            <w:pPr>
              <w:ind w:left="425" w:hanging="425"/>
              <w:jc w:val="both"/>
            </w:pPr>
            <w:r w:rsidRPr="004A5108">
              <w:t xml:space="preserve">Romaine, S. 1984: </w:t>
            </w:r>
            <w:r w:rsidRPr="004A5108">
              <w:rPr>
                <w:i/>
              </w:rPr>
              <w:t>The Language of Children and Adolescents: The acquisition of communicative competence.</w:t>
            </w:r>
            <w:r w:rsidRPr="004A5108">
              <w:t xml:space="preserve"> Oxford: Blackwell.</w:t>
            </w:r>
          </w:p>
          <w:p w:rsidR="00E92000" w:rsidRPr="00E92000" w:rsidRDefault="00E92000" w:rsidP="00E92000">
            <w:pPr>
              <w:ind w:left="425" w:hanging="425"/>
              <w:jc w:val="both"/>
            </w:pPr>
            <w:r w:rsidRPr="004A5108">
              <w:t xml:space="preserve">Saville- Troike, M. 1989. </w:t>
            </w:r>
            <w:r w:rsidRPr="004A5108">
              <w:rPr>
                <w:i/>
              </w:rPr>
              <w:t xml:space="preserve">The Ethnography of Communication: An Introduction. </w:t>
            </w:r>
            <w:r w:rsidRPr="004A5108">
              <w:t>Oxford: Blackwell.</w:t>
            </w:r>
          </w:p>
          <w:p w:rsidR="00E92000" w:rsidRPr="0093598A" w:rsidRDefault="00E92000" w:rsidP="00E92000">
            <w:pPr>
              <w:ind w:left="425" w:hanging="425"/>
              <w:jc w:val="both"/>
            </w:pPr>
            <w:r w:rsidRPr="004A5108">
              <w:t xml:space="preserve">Trudgill, P. 1974: </w:t>
            </w:r>
            <w:r w:rsidRPr="004A5108">
              <w:rPr>
                <w:i/>
              </w:rPr>
              <w:t>Sociolinguistics: An introduction to language and society.</w:t>
            </w:r>
            <w:r w:rsidRPr="004A5108">
              <w:t xml:space="preserve"> London: Penguin.</w:t>
            </w:r>
          </w:p>
          <w:p w:rsidR="00E92000" w:rsidRPr="00E92000" w:rsidRDefault="00E92000" w:rsidP="00E92000">
            <w:pPr>
              <w:ind w:left="425" w:hanging="425"/>
              <w:jc w:val="both"/>
            </w:pPr>
            <w:r w:rsidRPr="004A5108">
              <w:t xml:space="preserve">Wells, G. 1985: </w:t>
            </w:r>
            <w:r w:rsidRPr="004A5108">
              <w:rPr>
                <w:i/>
              </w:rPr>
              <w:t>Language Development in the Pree-school Years.</w:t>
            </w:r>
            <w:r w:rsidRPr="004A5108">
              <w:t xml:space="preserve"> Cambridge: Cambridge University Press.</w:t>
            </w:r>
          </w:p>
          <w:p w:rsidR="00CC1EC5" w:rsidRPr="006403CB" w:rsidRDefault="00CC1EC5" w:rsidP="00E30CBA">
            <w:pPr>
              <w:jc w:val="both"/>
              <w:rPr>
                <w:rFonts w:asciiTheme="majorHAnsi" w:eastAsia="Calibri" w:hAnsiTheme="majorHAnsi" w:cs="Arial"/>
                <w:color w:val="002060"/>
                <w:sz w:val="20"/>
                <w:szCs w:val="20"/>
                <w:lang w:val="en-GB"/>
              </w:rPr>
            </w:pPr>
          </w:p>
          <w:p w:rsidR="00CC1EC5" w:rsidRPr="006403CB" w:rsidRDefault="00CC1EC5" w:rsidP="00E30CBA">
            <w:pPr>
              <w:jc w:val="both"/>
              <w:rPr>
                <w:rFonts w:asciiTheme="majorHAnsi" w:eastAsia="Calibri" w:hAnsiTheme="majorHAnsi" w:cs="Arial"/>
                <w:color w:val="002060"/>
                <w:lang w:val="en-GB"/>
              </w:rPr>
            </w:pPr>
          </w:p>
          <w:p w:rsidR="00CC1EC5" w:rsidRPr="006403CB" w:rsidRDefault="00CC1EC5" w:rsidP="00E30CBA">
            <w:pPr>
              <w:jc w:val="both"/>
              <w:rPr>
                <w:rFonts w:asciiTheme="majorHAnsi" w:hAnsiTheme="majorHAnsi" w:cs="Arial"/>
                <w:b/>
                <w:lang w:val="en-GB"/>
              </w:rPr>
            </w:pPr>
          </w:p>
        </w:tc>
      </w:tr>
    </w:tbl>
    <w:p w:rsidR="00B22020" w:rsidRDefault="00B22020"/>
    <w:sectPr w:rsidR="00B220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3BEA3C95"/>
    <w:multiLevelType w:val="hybridMultilevel"/>
    <w:tmpl w:val="B4D02C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ECE05F2"/>
    <w:multiLevelType w:val="hybridMultilevel"/>
    <w:tmpl w:val="8684E1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1A7AFC"/>
    <w:rsid w:val="00232652"/>
    <w:rsid w:val="002E166B"/>
    <w:rsid w:val="005C35D5"/>
    <w:rsid w:val="006A5903"/>
    <w:rsid w:val="00745518"/>
    <w:rsid w:val="008865E5"/>
    <w:rsid w:val="0093598A"/>
    <w:rsid w:val="00A771EB"/>
    <w:rsid w:val="00AC3528"/>
    <w:rsid w:val="00B22020"/>
    <w:rsid w:val="00BD4735"/>
    <w:rsid w:val="00C27913"/>
    <w:rsid w:val="00C36535"/>
    <w:rsid w:val="00CC1EC5"/>
    <w:rsid w:val="00E92000"/>
    <w:rsid w:val="00FA74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99"/>
    <w:qFormat/>
    <w:rsid w:val="00C36535"/>
    <w:pPr>
      <w:ind w:left="720"/>
      <w:contextualSpacing/>
    </w:pPr>
  </w:style>
  <w:style w:type="paragraph" w:styleId="a4">
    <w:name w:val="Body Text"/>
    <w:basedOn w:val="a"/>
    <w:link w:val="Char"/>
    <w:rsid w:val="00E92000"/>
    <w:pPr>
      <w:spacing w:after="120"/>
    </w:pPr>
    <w:rPr>
      <w:sz w:val="20"/>
      <w:szCs w:val="20"/>
      <w:lang w:eastAsia="el-GR"/>
    </w:rPr>
  </w:style>
  <w:style w:type="character" w:customStyle="1" w:styleId="Char">
    <w:name w:val="Σώμα κειμένου Char"/>
    <w:basedOn w:val="a0"/>
    <w:link w:val="a4"/>
    <w:rsid w:val="00E92000"/>
    <w:rPr>
      <w:rFonts w:ascii="Times New Roman" w:eastAsia="Times New Roman" w:hAnsi="Times New Roman" w:cs="Times New Roman"/>
      <w:sz w:val="20"/>
      <w:szCs w:val="20"/>
      <w:lang w:val="en-US" w:eastAsia="el-GR"/>
    </w:rPr>
  </w:style>
  <w:style w:type="paragraph" w:styleId="a5">
    <w:name w:val="Body Text Indent"/>
    <w:basedOn w:val="a"/>
    <w:link w:val="Char0"/>
    <w:uiPriority w:val="99"/>
    <w:unhideWhenUsed/>
    <w:rsid w:val="00E92000"/>
    <w:pPr>
      <w:spacing w:after="120" w:line="276" w:lineRule="auto"/>
      <w:ind w:left="283"/>
    </w:pPr>
    <w:rPr>
      <w:rFonts w:ascii="Calibri" w:hAnsi="Calibri"/>
      <w:sz w:val="22"/>
      <w:szCs w:val="22"/>
      <w:lang w:val="el-GR"/>
    </w:rPr>
  </w:style>
  <w:style w:type="character" w:customStyle="1" w:styleId="Char0">
    <w:name w:val="Σώμα κείμενου με εσοχή Char"/>
    <w:basedOn w:val="a0"/>
    <w:link w:val="a5"/>
    <w:uiPriority w:val="99"/>
    <w:rsid w:val="00E92000"/>
    <w:rPr>
      <w:rFonts w:ascii="Calibri" w:eastAsia="Times New Roman" w:hAnsi="Calibri" w:cs="Times New Roman"/>
    </w:rPr>
  </w:style>
  <w:style w:type="paragraph" w:customStyle="1" w:styleId="Default">
    <w:name w:val="Default"/>
    <w:rsid w:val="00E92000"/>
    <w:pPr>
      <w:autoSpaceDE w:val="0"/>
      <w:autoSpaceDN w:val="0"/>
      <w:adjustRightInd w:val="0"/>
      <w:spacing w:after="0" w:line="240" w:lineRule="auto"/>
    </w:pPr>
    <w:rPr>
      <w:rFonts w:ascii="Symbol" w:eastAsia="Calibri" w:hAnsi="Symbol" w:cs="Symbol"/>
      <w:color w:val="000000"/>
      <w:sz w:val="24"/>
      <w:szCs w:val="24"/>
      <w:lang w:eastAsia="el-GR"/>
    </w:rPr>
  </w:style>
  <w:style w:type="character" w:customStyle="1" w:styleId="apple-converted-space">
    <w:name w:val="apple-converted-space"/>
    <w:basedOn w:val="a0"/>
    <w:rsid w:val="00C2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5702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2</cp:revision>
  <dcterms:created xsi:type="dcterms:W3CDTF">2017-09-25T06:26:00Z</dcterms:created>
  <dcterms:modified xsi:type="dcterms:W3CDTF">2017-09-25T06:26:00Z</dcterms:modified>
</cp:coreProperties>
</file>