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0D08D1" w:rsidRDefault="00E5728B" w:rsidP="007673F3">
            <w:pPr>
              <w:rPr>
                <w:rFonts w:ascii="Calibri" w:hAnsi="Calibri" w:cs="Arial"/>
                <w:sz w:val="20"/>
                <w:szCs w:val="20"/>
                <w:lang w:val="el-GR"/>
              </w:rPr>
            </w:pPr>
            <w:r w:rsidRPr="000D08D1">
              <w:rPr>
                <w:rFonts w:ascii="Calibri" w:hAnsi="Calibri" w:cs="Arial"/>
                <w:sz w:val="20"/>
                <w:szCs w:val="20"/>
                <w:lang w:val="el-GR"/>
              </w:rPr>
              <w:t>ΑΝΘΡΩΠΙΣΤΙΚΩΝ ΕΠΙΣΤΗΜΩΝ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0D08D1" w:rsidRDefault="00E5728B" w:rsidP="007673F3">
            <w:pPr>
              <w:rPr>
                <w:rFonts w:ascii="Calibri" w:hAnsi="Calibri" w:cs="Arial"/>
                <w:sz w:val="20"/>
                <w:szCs w:val="20"/>
                <w:lang w:val="el-GR"/>
              </w:rPr>
            </w:pPr>
            <w:r w:rsidRPr="000D08D1">
              <w:rPr>
                <w:rFonts w:ascii="Calibri" w:hAnsi="Calibri" w:cs="Arial"/>
                <w:sz w:val="20"/>
                <w:szCs w:val="20"/>
                <w:lang w:val="el-GR"/>
              </w:rPr>
              <w:t xml:space="preserve">ΜΕΣΟΓΕΙΑΚΩΝ ΣΠΟΥΔΩΝ </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0D08D1" w:rsidRDefault="00E5728B" w:rsidP="007673F3">
            <w:pPr>
              <w:rPr>
                <w:rFonts w:ascii="Calibri" w:hAnsi="Calibri" w:cs="Arial"/>
                <w:sz w:val="20"/>
                <w:szCs w:val="20"/>
                <w:lang w:val="el-GR"/>
              </w:rPr>
            </w:pPr>
            <w:r w:rsidRPr="000D08D1">
              <w:rPr>
                <w:rFonts w:ascii="Calibri" w:hAnsi="Calibri" w:cs="Arial"/>
                <w:sz w:val="20"/>
                <w:szCs w:val="20"/>
                <w:lang w:val="el-GR"/>
              </w:rPr>
              <w:t>ΠΡΟΠΤΥΧΙΑΚΟ</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14586E" w:rsidRDefault="0014586E" w:rsidP="0014586E">
            <w:pPr>
              <w:rPr>
                <w:rFonts w:asciiTheme="minorHAnsi" w:hAnsiTheme="minorHAnsi" w:cstheme="minorHAnsi"/>
                <w:sz w:val="20"/>
                <w:szCs w:val="20"/>
                <w:lang w:val="el-GR"/>
              </w:rPr>
            </w:pPr>
            <w:r w:rsidRPr="0014586E">
              <w:rPr>
                <w:rFonts w:asciiTheme="minorHAnsi" w:hAnsiTheme="minorHAnsi" w:cstheme="minorHAnsi"/>
                <w:sz w:val="20"/>
                <w:szCs w:val="20"/>
              </w:rPr>
              <w:t>ΚΥ-16</w:t>
            </w:r>
          </w:p>
        </w:tc>
        <w:tc>
          <w:tcPr>
            <w:tcW w:w="2505" w:type="dxa"/>
            <w:gridSpan w:val="2"/>
            <w:shd w:val="clear" w:color="auto" w:fill="DDD9C3" w:themeFill="background2" w:themeFillShade="E6"/>
          </w:tcPr>
          <w:p w:rsidR="000F4FD4" w:rsidRPr="000D08D1" w:rsidRDefault="000F4FD4" w:rsidP="007673F3">
            <w:pPr>
              <w:jc w:val="right"/>
              <w:rPr>
                <w:rFonts w:ascii="Calibri" w:hAnsi="Calibri" w:cs="Arial"/>
                <w:b/>
                <w:sz w:val="20"/>
                <w:szCs w:val="20"/>
              </w:rPr>
            </w:pPr>
            <w:r w:rsidRPr="000D08D1">
              <w:rPr>
                <w:rFonts w:ascii="Calibri" w:hAnsi="Calibri" w:cs="Arial"/>
                <w:b/>
                <w:sz w:val="20"/>
                <w:szCs w:val="20"/>
                <w:lang w:val="el-GR"/>
              </w:rPr>
              <w:t>ΕΞΑΜΗΝΟ ΣΠΟΥΔΩΝ</w:t>
            </w:r>
          </w:p>
        </w:tc>
        <w:tc>
          <w:tcPr>
            <w:tcW w:w="1591" w:type="dxa"/>
            <w:gridSpan w:val="2"/>
          </w:tcPr>
          <w:p w:rsidR="000F4FD4" w:rsidRPr="000D08D1" w:rsidRDefault="004605DC" w:rsidP="007673F3">
            <w:pPr>
              <w:rPr>
                <w:rFonts w:ascii="Calibri" w:hAnsi="Calibri" w:cs="Arial"/>
                <w:sz w:val="20"/>
                <w:szCs w:val="20"/>
                <w:lang w:val="el-GR"/>
              </w:rPr>
            </w:pPr>
            <w:r>
              <w:rPr>
                <w:rFonts w:ascii="Calibri" w:hAnsi="Calibri" w:cs="Arial"/>
                <w:sz w:val="20"/>
                <w:szCs w:val="20"/>
                <w:lang w:val="el-GR"/>
              </w:rPr>
              <w:t>Δ</w:t>
            </w: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0D08D1" w:rsidRDefault="001C15E8" w:rsidP="007673F3">
            <w:pPr>
              <w:rPr>
                <w:rFonts w:ascii="Calibri" w:hAnsi="Calibri" w:cs="Arial"/>
                <w:sz w:val="20"/>
                <w:szCs w:val="20"/>
                <w:lang w:val="el-GR"/>
              </w:rPr>
            </w:pPr>
            <w:r>
              <w:rPr>
                <w:rFonts w:ascii="Calibri" w:hAnsi="Calibri" w:cs="Arial"/>
                <w:sz w:val="20"/>
                <w:szCs w:val="20"/>
                <w:lang w:val="el-GR"/>
              </w:rPr>
              <w:t>ΓΛΩΣΣΕ</w:t>
            </w:r>
            <w:bookmarkStart w:id="1" w:name="_GoBack"/>
            <w:bookmarkEnd w:id="1"/>
            <w:r>
              <w:rPr>
                <w:rFonts w:ascii="Calibri" w:hAnsi="Calibri" w:cs="Arial"/>
                <w:sz w:val="20"/>
                <w:szCs w:val="20"/>
                <w:lang w:val="el-GR"/>
              </w:rPr>
              <w:t>Σ ΤΗΣ ΝΟΤΙΟΑΝΑΤΟΛΙΚΗΣ ΜΕΣΟΓΕΙΟΥ</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D08D1" w:rsidRPr="000D08D1" w:rsidTr="007673F3">
        <w:trPr>
          <w:trHeight w:val="194"/>
        </w:trPr>
        <w:tc>
          <w:tcPr>
            <w:tcW w:w="5637" w:type="dxa"/>
            <w:gridSpan w:val="3"/>
          </w:tcPr>
          <w:p w:rsidR="000F4FD4" w:rsidRPr="00705AAD" w:rsidRDefault="000F4FD4" w:rsidP="007673F3">
            <w:pPr>
              <w:jc w:val="right"/>
              <w:rPr>
                <w:rFonts w:ascii="Calibri" w:hAnsi="Calibri" w:cs="Arial"/>
                <w:color w:val="002060"/>
                <w:sz w:val="20"/>
                <w:szCs w:val="20"/>
                <w:lang w:val="el-GR"/>
              </w:rPr>
            </w:pPr>
          </w:p>
        </w:tc>
        <w:tc>
          <w:tcPr>
            <w:tcW w:w="1559" w:type="dxa"/>
            <w:gridSpan w:val="2"/>
          </w:tcPr>
          <w:p w:rsidR="000F4FD4" w:rsidRPr="000D08D1" w:rsidRDefault="00E5728B" w:rsidP="007673F3">
            <w:pPr>
              <w:jc w:val="center"/>
              <w:rPr>
                <w:rFonts w:ascii="Calibri" w:hAnsi="Calibri" w:cs="Arial"/>
                <w:sz w:val="20"/>
                <w:szCs w:val="20"/>
                <w:lang w:val="el-GR"/>
              </w:rPr>
            </w:pPr>
            <w:r w:rsidRPr="000D08D1">
              <w:rPr>
                <w:rFonts w:ascii="Calibri" w:hAnsi="Calibri" w:cs="Arial"/>
                <w:sz w:val="20"/>
                <w:szCs w:val="20"/>
                <w:lang w:val="el-GR"/>
              </w:rPr>
              <w:t>3</w:t>
            </w:r>
          </w:p>
        </w:tc>
        <w:tc>
          <w:tcPr>
            <w:tcW w:w="1240" w:type="dxa"/>
          </w:tcPr>
          <w:p w:rsidR="000F4FD4" w:rsidRPr="000D08D1" w:rsidRDefault="00E5728B" w:rsidP="007673F3">
            <w:pPr>
              <w:jc w:val="center"/>
              <w:rPr>
                <w:rFonts w:ascii="Calibri" w:hAnsi="Calibri" w:cs="Arial"/>
                <w:sz w:val="20"/>
                <w:szCs w:val="20"/>
                <w:lang w:val="el-GR"/>
              </w:rPr>
            </w:pPr>
            <w:r w:rsidRPr="000D08D1">
              <w:rPr>
                <w:rFonts w:ascii="Calibri" w:hAnsi="Calibri" w:cs="Arial"/>
                <w:sz w:val="20"/>
                <w:szCs w:val="20"/>
                <w:lang w:val="el-GR"/>
              </w:rPr>
              <w:t>5</w:t>
            </w:r>
          </w:p>
        </w:tc>
      </w:tr>
      <w:tr w:rsidR="000D08D1" w:rsidRPr="000D08D1"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0D08D1" w:rsidRDefault="000F4FD4" w:rsidP="007673F3">
            <w:pPr>
              <w:jc w:val="right"/>
              <w:rPr>
                <w:rFonts w:ascii="Calibri" w:hAnsi="Calibri" w:cs="Arial"/>
                <w:sz w:val="20"/>
                <w:szCs w:val="20"/>
                <w:lang w:val="el-GR"/>
              </w:rPr>
            </w:pPr>
          </w:p>
        </w:tc>
        <w:tc>
          <w:tcPr>
            <w:tcW w:w="1240" w:type="dxa"/>
          </w:tcPr>
          <w:p w:rsidR="000F4FD4" w:rsidRPr="000D08D1" w:rsidRDefault="000F4FD4" w:rsidP="007673F3">
            <w:pPr>
              <w:rPr>
                <w:rFonts w:ascii="Calibri" w:hAnsi="Calibri" w:cs="Arial"/>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14586E"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E62EE4" w:rsidRPr="007E6482" w:rsidTr="00B76048">
        <w:trPr>
          <w:trHeight w:val="599"/>
        </w:trPr>
        <w:tc>
          <w:tcPr>
            <w:tcW w:w="3205" w:type="dxa"/>
            <w:shd w:val="clear" w:color="auto" w:fill="DDD9C3" w:themeFill="background2" w:themeFillShade="E6"/>
          </w:tcPr>
          <w:p w:rsidR="00E62EE4" w:rsidRPr="00705AAD" w:rsidRDefault="00E62EE4" w:rsidP="00E62EE4">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E62EE4" w:rsidRDefault="00E62EE4" w:rsidP="00E62EE4">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E62EE4" w:rsidRPr="00705AAD" w:rsidRDefault="00E62EE4" w:rsidP="00E62EE4">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vAlign w:val="center"/>
          </w:tcPr>
          <w:p w:rsidR="00E62EE4" w:rsidRPr="000D08D1" w:rsidRDefault="00E62EE4" w:rsidP="00E62EE4">
            <w:pPr>
              <w:rPr>
                <w:rFonts w:ascii="Calibri" w:hAnsi="Calibri" w:cs="Arial"/>
                <w:sz w:val="20"/>
                <w:szCs w:val="20"/>
                <w:lang w:val="el-GR"/>
              </w:rPr>
            </w:pPr>
            <w:r>
              <w:rPr>
                <w:rFonts w:ascii="Calibri" w:hAnsi="Calibri" w:cs="Arial"/>
                <w:sz w:val="20"/>
                <w:szCs w:val="20"/>
                <w:lang w:val="el-GR"/>
              </w:rPr>
              <w:t>ΓΕΝΙΚΟΥ ΥΠΟΒΑΘΡΟΥ</w:t>
            </w:r>
          </w:p>
        </w:tc>
      </w:tr>
      <w:tr w:rsidR="00E62EE4" w:rsidRPr="00705AAD" w:rsidTr="007673F3">
        <w:tc>
          <w:tcPr>
            <w:tcW w:w="3205" w:type="dxa"/>
            <w:shd w:val="clear" w:color="auto" w:fill="DDD9C3" w:themeFill="background2" w:themeFillShade="E6"/>
          </w:tcPr>
          <w:p w:rsidR="00E62EE4" w:rsidRPr="00705AAD" w:rsidRDefault="00E62EE4" w:rsidP="00E62EE4">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E62EE4" w:rsidRPr="00705AAD" w:rsidRDefault="00E62EE4" w:rsidP="00E62EE4">
            <w:pPr>
              <w:jc w:val="right"/>
              <w:rPr>
                <w:rFonts w:ascii="Calibri" w:hAnsi="Calibri" w:cs="Arial"/>
                <w:b/>
                <w:sz w:val="20"/>
                <w:szCs w:val="20"/>
                <w:lang w:val="el-GR"/>
              </w:rPr>
            </w:pPr>
          </w:p>
        </w:tc>
        <w:tc>
          <w:tcPr>
            <w:tcW w:w="5231" w:type="dxa"/>
            <w:gridSpan w:val="5"/>
          </w:tcPr>
          <w:p w:rsidR="00E62EE4" w:rsidRPr="00705AAD" w:rsidRDefault="00E62EE4" w:rsidP="00E62EE4">
            <w:pPr>
              <w:rPr>
                <w:rFonts w:ascii="Calibri" w:hAnsi="Calibri" w:cs="Arial"/>
                <w:color w:val="002060"/>
                <w:sz w:val="20"/>
                <w:szCs w:val="20"/>
                <w:lang w:val="el-GR"/>
              </w:rPr>
            </w:pPr>
          </w:p>
        </w:tc>
      </w:tr>
      <w:tr w:rsidR="00E62EE4" w:rsidRPr="00705AAD" w:rsidTr="007673F3">
        <w:tc>
          <w:tcPr>
            <w:tcW w:w="3205" w:type="dxa"/>
            <w:shd w:val="clear" w:color="auto" w:fill="DDD9C3" w:themeFill="background2" w:themeFillShade="E6"/>
          </w:tcPr>
          <w:p w:rsidR="00E62EE4" w:rsidRPr="00705AAD" w:rsidRDefault="00E62EE4" w:rsidP="00E62EE4">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E62EE4" w:rsidRPr="00914D74" w:rsidRDefault="00E62EE4" w:rsidP="00E62EE4">
            <w:pPr>
              <w:rPr>
                <w:rFonts w:ascii="Calibri" w:hAnsi="Calibri" w:cs="Arial"/>
                <w:sz w:val="20"/>
                <w:szCs w:val="20"/>
                <w:lang w:val="el-GR"/>
              </w:rPr>
            </w:pPr>
            <w:r w:rsidRPr="00914D74">
              <w:rPr>
                <w:rFonts w:ascii="Calibri" w:hAnsi="Calibri" w:cs="Arial"/>
                <w:sz w:val="20"/>
                <w:szCs w:val="20"/>
                <w:lang w:val="el-GR"/>
              </w:rPr>
              <w:t>ΕΛΛΗΝΙΚΑ</w:t>
            </w:r>
          </w:p>
        </w:tc>
      </w:tr>
      <w:tr w:rsidR="00E62EE4" w:rsidRPr="00E5728B" w:rsidTr="007673F3">
        <w:tc>
          <w:tcPr>
            <w:tcW w:w="3205" w:type="dxa"/>
            <w:shd w:val="clear" w:color="auto" w:fill="DDD9C3" w:themeFill="background2" w:themeFillShade="E6"/>
          </w:tcPr>
          <w:p w:rsidR="00E62EE4" w:rsidRPr="00705AAD" w:rsidRDefault="00E62EE4" w:rsidP="00E62EE4">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E62EE4" w:rsidRPr="00914D74" w:rsidRDefault="00E62EE4" w:rsidP="00E62EE4">
            <w:pPr>
              <w:rPr>
                <w:rFonts w:ascii="Calibri" w:hAnsi="Calibri" w:cs="Arial"/>
                <w:sz w:val="20"/>
                <w:szCs w:val="20"/>
                <w:lang w:val="el-GR"/>
              </w:rPr>
            </w:pPr>
            <w:r w:rsidRPr="00914D74">
              <w:rPr>
                <w:rFonts w:ascii="Calibri" w:hAnsi="Calibri" w:cs="Arial"/>
                <w:sz w:val="20"/>
                <w:szCs w:val="20"/>
                <w:lang w:val="el-GR"/>
              </w:rPr>
              <w:t>ΟΧΙ</w:t>
            </w:r>
          </w:p>
        </w:tc>
      </w:tr>
      <w:tr w:rsidR="00E62EE4" w:rsidRPr="00705AAD" w:rsidTr="007673F3">
        <w:tc>
          <w:tcPr>
            <w:tcW w:w="3205" w:type="dxa"/>
            <w:shd w:val="clear" w:color="auto" w:fill="DDD9C3" w:themeFill="background2" w:themeFillShade="E6"/>
          </w:tcPr>
          <w:p w:rsidR="00E62EE4" w:rsidRPr="00705AAD" w:rsidRDefault="00E62EE4" w:rsidP="00E62EE4">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E62EE4" w:rsidRPr="00914D74" w:rsidRDefault="00E62EE4" w:rsidP="00E62EE4">
            <w:pPr>
              <w:spacing w:after="200" w:line="276" w:lineRule="auto"/>
              <w:rPr>
                <w:rFonts w:ascii="Calibri" w:eastAsia="Calibri" w:hAnsi="Calibri" w:cs="Arial"/>
                <w:sz w:val="20"/>
                <w:szCs w:val="20"/>
              </w:rPr>
            </w:pPr>
            <w:r w:rsidRPr="00914D74">
              <w:rPr>
                <w:rFonts w:ascii="Calibri" w:eastAsia="Calibri" w:hAnsi="Calibri" w:cs="Arial"/>
                <w:sz w:val="20"/>
                <w:szCs w:val="20"/>
              </w:rPr>
              <w:t>ECLASS.AEGEAN.GR</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14586E"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14586E" w:rsidTr="00305D37">
        <w:tc>
          <w:tcPr>
            <w:tcW w:w="8472" w:type="dxa"/>
            <w:gridSpan w:val="2"/>
          </w:tcPr>
          <w:p w:rsidR="004605DC" w:rsidRPr="004605DC" w:rsidRDefault="004605DC" w:rsidP="004605DC">
            <w:pPr>
              <w:jc w:val="both"/>
              <w:rPr>
                <w:rFonts w:asciiTheme="minorHAnsi" w:hAnsiTheme="minorHAnsi" w:cstheme="minorHAnsi"/>
                <w:sz w:val="20"/>
                <w:szCs w:val="20"/>
                <w:lang w:val="el-GR"/>
              </w:rPr>
            </w:pPr>
            <w:r w:rsidRPr="004605DC">
              <w:rPr>
                <w:rFonts w:asciiTheme="minorHAnsi" w:hAnsiTheme="minorHAnsi" w:cstheme="minorHAnsi"/>
                <w:sz w:val="20"/>
                <w:szCs w:val="20"/>
                <w:lang w:val="el-GR"/>
              </w:rPr>
              <w:t>Με την επιτυχή ολοκλήρωση αυτού του μαθήματος ο φοιτητής /φοιτήτρια θα πρέπει:</w:t>
            </w:r>
          </w:p>
          <w:p w:rsidR="004605DC" w:rsidRPr="004605DC" w:rsidRDefault="004605DC" w:rsidP="004605DC">
            <w:pPr>
              <w:jc w:val="both"/>
              <w:rPr>
                <w:rFonts w:asciiTheme="minorHAnsi" w:hAnsiTheme="minorHAnsi" w:cstheme="minorHAnsi"/>
                <w:sz w:val="20"/>
                <w:szCs w:val="20"/>
                <w:lang w:val="el-GR"/>
              </w:rPr>
            </w:pPr>
          </w:p>
          <w:p w:rsidR="004605DC" w:rsidRPr="004605DC" w:rsidRDefault="004605DC" w:rsidP="004605DC">
            <w:pPr>
              <w:numPr>
                <w:ilvl w:val="0"/>
                <w:numId w:val="46"/>
              </w:numPr>
              <w:jc w:val="both"/>
              <w:rPr>
                <w:rFonts w:asciiTheme="minorHAnsi" w:hAnsiTheme="minorHAnsi" w:cstheme="minorHAnsi"/>
                <w:sz w:val="20"/>
                <w:szCs w:val="20"/>
                <w:lang w:val="el-GR"/>
              </w:rPr>
            </w:pPr>
            <w:r w:rsidRPr="004605DC">
              <w:rPr>
                <w:rFonts w:asciiTheme="minorHAnsi" w:hAnsiTheme="minorHAnsi" w:cstheme="minorHAnsi"/>
                <w:sz w:val="20"/>
                <w:szCs w:val="20"/>
                <w:lang w:val="el-GR"/>
              </w:rPr>
              <w:t xml:space="preserve">να έχει κατανοήσει τους στόχους και τις μεθόδους της Συγκριτικής/ Αντιπαραβολικής  Γλωσσολογίας, </w:t>
            </w:r>
          </w:p>
          <w:p w:rsidR="004605DC" w:rsidRPr="004605DC" w:rsidRDefault="004605DC" w:rsidP="004605DC">
            <w:pPr>
              <w:numPr>
                <w:ilvl w:val="0"/>
                <w:numId w:val="46"/>
              </w:numPr>
              <w:jc w:val="both"/>
              <w:rPr>
                <w:rFonts w:asciiTheme="minorHAnsi" w:hAnsiTheme="minorHAnsi" w:cstheme="minorHAnsi"/>
                <w:sz w:val="20"/>
                <w:szCs w:val="20"/>
                <w:lang w:val="el-GR"/>
              </w:rPr>
            </w:pPr>
            <w:r w:rsidRPr="004605DC">
              <w:rPr>
                <w:rFonts w:asciiTheme="minorHAnsi" w:hAnsiTheme="minorHAnsi" w:cstheme="minorHAnsi"/>
                <w:sz w:val="20"/>
                <w:szCs w:val="20"/>
                <w:lang w:val="el-GR"/>
              </w:rPr>
              <w:t xml:space="preserve">να έχει αποκτήσει ιστορικές και γλωσσολογικές γνώσεις πάνω στις γλώσσες της ΝΑ Μεσογείου (Ελληνικά, τουρκογενείς και σημιτικές γλώσσες), </w:t>
            </w:r>
          </w:p>
          <w:p w:rsidR="004605DC" w:rsidRPr="004605DC" w:rsidRDefault="004605DC" w:rsidP="004605DC">
            <w:pPr>
              <w:numPr>
                <w:ilvl w:val="0"/>
                <w:numId w:val="46"/>
              </w:numPr>
              <w:jc w:val="both"/>
              <w:rPr>
                <w:rFonts w:asciiTheme="minorHAnsi" w:hAnsiTheme="minorHAnsi" w:cstheme="minorHAnsi"/>
                <w:sz w:val="20"/>
                <w:szCs w:val="20"/>
                <w:lang w:val="el-GR"/>
              </w:rPr>
            </w:pPr>
            <w:r w:rsidRPr="004605DC">
              <w:rPr>
                <w:rFonts w:asciiTheme="minorHAnsi" w:hAnsiTheme="minorHAnsi" w:cstheme="minorHAnsi"/>
                <w:sz w:val="20"/>
                <w:szCs w:val="20"/>
                <w:lang w:val="el-GR"/>
              </w:rPr>
              <w:t xml:space="preserve">να γνωρίζει το βαθμό στον οποίο τα Τουρκικά, τα Εβραϊκά, τα Αραβικά και τα  Ελληνικά αλληλοεπηρεάστηκαν, </w:t>
            </w:r>
          </w:p>
          <w:p w:rsidR="004605DC" w:rsidRPr="004605DC" w:rsidRDefault="004605DC" w:rsidP="004605DC">
            <w:pPr>
              <w:numPr>
                <w:ilvl w:val="0"/>
                <w:numId w:val="46"/>
              </w:numPr>
              <w:jc w:val="both"/>
              <w:rPr>
                <w:rFonts w:asciiTheme="minorHAnsi" w:hAnsiTheme="minorHAnsi" w:cstheme="minorHAnsi"/>
                <w:sz w:val="20"/>
                <w:szCs w:val="20"/>
                <w:lang w:val="el-GR"/>
              </w:rPr>
            </w:pPr>
            <w:r w:rsidRPr="004605DC">
              <w:rPr>
                <w:rFonts w:asciiTheme="minorHAnsi" w:hAnsiTheme="minorHAnsi" w:cstheme="minorHAnsi"/>
                <w:sz w:val="20"/>
                <w:szCs w:val="20"/>
                <w:lang w:val="el-GR"/>
              </w:rPr>
              <w:t>να είναι ικανός/ ή να αναλύει τις υπό εξέταση γλώσσες στα βασικά επίπεδα γλωσσολογικής ανάλυσης (φωνολογία/ φωνητική, μορφολογία, σύνταξη, σημασιολογία, πραγματολογία) και</w:t>
            </w:r>
          </w:p>
          <w:p w:rsidR="00E5728B" w:rsidRPr="004605DC" w:rsidRDefault="004605DC" w:rsidP="004605DC">
            <w:pPr>
              <w:pStyle w:val="ListParagraph"/>
              <w:numPr>
                <w:ilvl w:val="0"/>
                <w:numId w:val="46"/>
              </w:numPr>
              <w:rPr>
                <w:rFonts w:asciiTheme="minorHAnsi" w:hAnsiTheme="minorHAnsi" w:cstheme="minorHAnsi"/>
                <w:i/>
                <w:sz w:val="20"/>
                <w:szCs w:val="20"/>
              </w:rPr>
            </w:pPr>
            <w:r w:rsidRPr="004605DC">
              <w:rPr>
                <w:rFonts w:asciiTheme="minorHAnsi" w:hAnsiTheme="minorHAnsi" w:cstheme="minorHAnsi"/>
                <w:sz w:val="20"/>
                <w:szCs w:val="20"/>
              </w:rPr>
              <w:t>να έχει μάθει να προσεγγίζει συγκριτικά τις υπό εξέταση γλώσσες και να βρίσκει τα ενδιαφέροντα καθολικά ή ιδιοσυγκρατικά χαρακτηριστικά τους με σκοπό την επαλήθευση θεωρητικών προσεγγίσεων στη φυσική γλώσσα.</w:t>
            </w:r>
          </w:p>
          <w:p w:rsidR="004605DC" w:rsidRPr="004605DC" w:rsidRDefault="004605DC" w:rsidP="004605DC">
            <w:pPr>
              <w:pStyle w:val="ListParagraph"/>
              <w:rPr>
                <w:rFonts w:asciiTheme="minorHAnsi" w:hAnsiTheme="minorHAnsi" w:cstheme="minorHAnsi"/>
                <w:i/>
                <w:sz w:val="20"/>
                <w:szCs w:val="20"/>
              </w:rPr>
            </w:pP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14586E"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14586E" w:rsidTr="00305D37">
        <w:tc>
          <w:tcPr>
            <w:tcW w:w="8472" w:type="dxa"/>
            <w:gridSpan w:val="2"/>
            <w:tcBorders>
              <w:bottom w:val="single" w:sz="4" w:space="0" w:color="auto"/>
            </w:tcBorders>
          </w:tcPr>
          <w:p w:rsidR="000F4FD4" w:rsidRPr="00914D74" w:rsidRDefault="0031510E" w:rsidP="00305D37">
            <w:pPr>
              <w:widowControl w:val="0"/>
              <w:autoSpaceDE w:val="0"/>
              <w:autoSpaceDN w:val="0"/>
              <w:adjustRightInd w:val="0"/>
              <w:rPr>
                <w:rFonts w:asciiTheme="minorHAnsi" w:eastAsia="Calibri" w:hAnsiTheme="minorHAnsi" w:cstheme="minorHAnsi"/>
                <w:sz w:val="20"/>
                <w:szCs w:val="20"/>
                <w:lang w:val="el-GR"/>
              </w:rPr>
            </w:pPr>
            <w:r w:rsidRPr="00914D74">
              <w:rPr>
                <w:rFonts w:asciiTheme="minorHAnsi" w:eastAsia="Calibri" w:hAnsiTheme="minorHAnsi" w:cstheme="minorHAnsi"/>
                <w:sz w:val="20"/>
                <w:szCs w:val="20"/>
                <w:lang w:val="el-GR"/>
              </w:rPr>
              <w:t>-Αναζήτηση, ανάλυση και σύνθεση δεδομένων</w:t>
            </w:r>
          </w:p>
          <w:p w:rsidR="0031510E" w:rsidRPr="00914D74" w:rsidRDefault="0031510E" w:rsidP="00305D37">
            <w:pPr>
              <w:widowControl w:val="0"/>
              <w:autoSpaceDE w:val="0"/>
              <w:autoSpaceDN w:val="0"/>
              <w:adjustRightInd w:val="0"/>
              <w:rPr>
                <w:rFonts w:asciiTheme="minorHAnsi" w:eastAsia="Calibri" w:hAnsiTheme="minorHAnsi" w:cstheme="minorHAnsi"/>
                <w:sz w:val="20"/>
                <w:szCs w:val="20"/>
                <w:lang w:val="el-GR"/>
              </w:rPr>
            </w:pPr>
            <w:r w:rsidRPr="00914D74">
              <w:rPr>
                <w:rFonts w:asciiTheme="minorHAnsi" w:eastAsia="Calibri" w:hAnsiTheme="minorHAnsi" w:cstheme="minorHAnsi"/>
                <w:sz w:val="20"/>
                <w:szCs w:val="20"/>
                <w:lang w:val="el-GR"/>
              </w:rPr>
              <w:t>-Παραωγή νέων ερευνητικών ιδεών</w:t>
            </w:r>
          </w:p>
          <w:p w:rsidR="0031510E" w:rsidRPr="00914D74" w:rsidRDefault="0031510E" w:rsidP="00305D37">
            <w:pPr>
              <w:widowControl w:val="0"/>
              <w:autoSpaceDE w:val="0"/>
              <w:autoSpaceDN w:val="0"/>
              <w:adjustRightInd w:val="0"/>
              <w:rPr>
                <w:rFonts w:asciiTheme="minorHAnsi" w:eastAsia="Calibri" w:hAnsiTheme="minorHAnsi" w:cstheme="minorHAnsi"/>
                <w:sz w:val="20"/>
                <w:szCs w:val="20"/>
                <w:lang w:val="el-GR"/>
              </w:rPr>
            </w:pPr>
            <w:r w:rsidRPr="00914D74">
              <w:rPr>
                <w:rFonts w:asciiTheme="minorHAnsi" w:eastAsia="Calibri" w:hAnsiTheme="minorHAnsi" w:cstheme="minorHAnsi"/>
                <w:sz w:val="20"/>
                <w:szCs w:val="20"/>
                <w:lang w:val="el-GR"/>
              </w:rPr>
              <w:t>-Άσκηση κριτικής σκέψης</w:t>
            </w:r>
          </w:p>
          <w:p w:rsidR="000F4FD4" w:rsidRPr="00705AAD" w:rsidRDefault="0031510E" w:rsidP="00BF4EFB">
            <w:pPr>
              <w:widowControl w:val="0"/>
              <w:autoSpaceDE w:val="0"/>
              <w:autoSpaceDN w:val="0"/>
              <w:adjustRightInd w:val="0"/>
              <w:rPr>
                <w:rFonts w:ascii="Calibri" w:hAnsi="Calibri" w:cs="Arial"/>
                <w:i/>
                <w:sz w:val="16"/>
                <w:szCs w:val="16"/>
                <w:lang w:val="el-GR"/>
              </w:rPr>
            </w:pPr>
            <w:r w:rsidRPr="00914D74">
              <w:rPr>
                <w:rFonts w:asciiTheme="minorHAnsi" w:eastAsia="Calibri" w:hAnsiTheme="minorHAnsi" w:cstheme="minorHAnsi"/>
                <w:sz w:val="20"/>
                <w:szCs w:val="20"/>
                <w:lang w:val="el-GR"/>
              </w:rPr>
              <w:t>-Προαγωγή της ελεύθερης, δημιουργικής επαγωγικής σκέψης</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14586E" w:rsidTr="007673F3">
        <w:tc>
          <w:tcPr>
            <w:tcW w:w="8472" w:type="dxa"/>
          </w:tcPr>
          <w:p w:rsidR="000F4FD4" w:rsidRPr="001C15E8" w:rsidRDefault="001C15E8" w:rsidP="001C15E8">
            <w:pPr>
              <w:jc w:val="both"/>
              <w:rPr>
                <w:rFonts w:asciiTheme="minorHAnsi" w:hAnsiTheme="minorHAnsi" w:cstheme="minorHAnsi"/>
                <w:sz w:val="20"/>
                <w:szCs w:val="20"/>
                <w:lang w:val="el-GR"/>
              </w:rPr>
            </w:pPr>
            <w:r w:rsidRPr="001C15E8">
              <w:rPr>
                <w:rFonts w:asciiTheme="minorHAnsi" w:hAnsiTheme="minorHAnsi" w:cstheme="minorHAnsi"/>
                <w:sz w:val="20"/>
                <w:szCs w:val="20"/>
                <w:lang w:val="el-GR"/>
              </w:rPr>
              <w:t xml:space="preserve">Το μάθημα αυτό εισάγει τον φοιτητή στον τομέα της συγκριτικής (αντιπαραβολικής) γλωσσολογίας μέσα από τη μελέτη των γλωσσών της ΝΑ Μεσογείου. Έμφαση δίνεται τόσο στις ιστορικές και ευρύτερες πολιτισμικές σχέσεις όσο και στα τυπολογικά χαρακτηριστικά των τουρκογενών και σημιτικών γλωσσών (γενεαλογικά δέντρα), όπως επίσης και σε θέματα γλωσσικής επαφής με την Ελληνική. Η συγκριτική μελέτη φωνολογικών, μορφολογικών και συντακτικών δομών των συγκεκριμένων γλωσσών με τη μορφή ασκήσεων συντελούν στη βαθύτερη κατανόηση των δομικών και τυπολογικών ομοιοτήτων και διαφορών των υπό εξέταση γλωσσικών οικογενειών. </w:t>
            </w:r>
          </w:p>
        </w:tc>
      </w:tr>
    </w:tbl>
    <w:p w:rsidR="00271F7D" w:rsidRDefault="00271F7D">
      <w:pPr>
        <w:rPr>
          <w:rFonts w:ascii="Calibri" w:hAnsi="Calibri" w:cs="Arial"/>
          <w:b/>
          <w:color w:val="000000"/>
          <w:sz w:val="22"/>
          <w:szCs w:val="22"/>
          <w:lang w:val="el-GR"/>
        </w:rPr>
      </w:pP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E5728B"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914D74" w:rsidRDefault="0031510E" w:rsidP="007673F3">
            <w:pPr>
              <w:spacing w:after="200" w:line="276" w:lineRule="auto"/>
              <w:rPr>
                <w:rFonts w:ascii="Calibri" w:eastAsia="Calibri" w:hAnsi="Calibri"/>
                <w:iCs/>
                <w:color w:val="002060"/>
                <w:sz w:val="20"/>
                <w:szCs w:val="20"/>
                <w:lang w:val="el-GR"/>
              </w:rPr>
            </w:pPr>
            <w:r w:rsidRPr="00914D74">
              <w:rPr>
                <w:rFonts w:ascii="Calibri" w:hAnsi="Calibri" w:cs="Arial"/>
                <w:sz w:val="20"/>
                <w:szCs w:val="20"/>
                <w:lang w:val="el-GR"/>
              </w:rPr>
              <w:t>Πρόσωπο με πρόσωπο</w:t>
            </w:r>
          </w:p>
        </w:tc>
      </w:tr>
      <w:tr w:rsidR="000F4FD4" w:rsidRPr="0014586E"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914D74" w:rsidRDefault="0031510E" w:rsidP="007673F3">
            <w:pPr>
              <w:rPr>
                <w:rFonts w:ascii="Calibri" w:hAnsi="Calibri" w:cs="Arial"/>
                <w:b/>
                <w:color w:val="002060"/>
                <w:sz w:val="20"/>
                <w:szCs w:val="20"/>
                <w:lang w:val="el-GR"/>
              </w:rPr>
            </w:pPr>
            <w:r w:rsidRPr="00914D74">
              <w:rPr>
                <w:rFonts w:ascii="Calibri" w:hAnsi="Calibri" w:cs="Arial"/>
                <w:sz w:val="20"/>
                <w:szCs w:val="20"/>
                <w:lang w:val="el-GR"/>
              </w:rPr>
              <w:t>Χρήση Τ.Π.Ε. στη Διδασκαλία και στην Επικοινωνία με τους φοιτητές</w:t>
            </w:r>
          </w:p>
        </w:tc>
      </w:tr>
      <w:tr w:rsidR="000F4FD4" w:rsidRPr="0060608B"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914D74" w:rsidRPr="00914D74" w:rsidTr="007673F3">
              <w:tc>
                <w:tcPr>
                  <w:tcW w:w="2467" w:type="dxa"/>
                  <w:shd w:val="clear" w:color="auto" w:fill="DDD9C3" w:themeFill="background2" w:themeFillShade="E6"/>
                  <w:vAlign w:val="center"/>
                </w:tcPr>
                <w:p w:rsidR="000F4FD4" w:rsidRPr="00914D74" w:rsidRDefault="000F4FD4" w:rsidP="007673F3">
                  <w:pPr>
                    <w:jc w:val="center"/>
                    <w:rPr>
                      <w:rFonts w:ascii="Calibri" w:hAnsi="Calibri" w:cs="Arial"/>
                      <w:b/>
                      <w:i/>
                      <w:sz w:val="20"/>
                      <w:szCs w:val="20"/>
                    </w:rPr>
                  </w:pPr>
                  <w:r w:rsidRPr="00914D74">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914D74" w:rsidRDefault="000F4FD4" w:rsidP="007673F3">
                  <w:pPr>
                    <w:jc w:val="center"/>
                    <w:rPr>
                      <w:rFonts w:ascii="Calibri" w:hAnsi="Calibri" w:cs="Arial"/>
                      <w:b/>
                      <w:i/>
                      <w:sz w:val="20"/>
                      <w:szCs w:val="20"/>
                    </w:rPr>
                  </w:pPr>
                  <w:r w:rsidRPr="00914D74">
                    <w:rPr>
                      <w:rFonts w:ascii="Calibri" w:hAnsi="Calibri" w:cs="Arial"/>
                      <w:b/>
                      <w:i/>
                      <w:sz w:val="20"/>
                      <w:szCs w:val="20"/>
                    </w:rPr>
                    <w:t>Φόρτος Εργασίας Εξαμήνου</w:t>
                  </w:r>
                </w:p>
              </w:tc>
            </w:tr>
            <w:tr w:rsidR="00914D74" w:rsidRPr="00914D74" w:rsidTr="007673F3">
              <w:tc>
                <w:tcPr>
                  <w:tcW w:w="2467" w:type="dxa"/>
                </w:tcPr>
                <w:p w:rsidR="000F4FD4" w:rsidRPr="00914D74" w:rsidRDefault="0031510E" w:rsidP="007673F3">
                  <w:pPr>
                    <w:rPr>
                      <w:rFonts w:ascii="Calibri" w:hAnsi="Calibri"/>
                      <w:iCs/>
                      <w:sz w:val="20"/>
                      <w:szCs w:val="20"/>
                      <w:lang w:val="el-GR"/>
                    </w:rPr>
                  </w:pPr>
                  <w:r w:rsidRPr="00914D74">
                    <w:rPr>
                      <w:rFonts w:ascii="Calibri" w:hAnsi="Calibri"/>
                      <w:iCs/>
                      <w:sz w:val="20"/>
                      <w:szCs w:val="20"/>
                      <w:lang w:val="el-GR"/>
                    </w:rPr>
                    <w:t>Διαλέξεις</w:t>
                  </w:r>
                </w:p>
              </w:tc>
              <w:tc>
                <w:tcPr>
                  <w:tcW w:w="2468" w:type="dxa"/>
                </w:tcPr>
                <w:p w:rsidR="000F4FD4" w:rsidRPr="00914D74" w:rsidRDefault="0060608B" w:rsidP="007673F3">
                  <w:pPr>
                    <w:jc w:val="center"/>
                    <w:rPr>
                      <w:rFonts w:ascii="Calibri" w:hAnsi="Calibri" w:cs="Arial"/>
                      <w:sz w:val="20"/>
                      <w:szCs w:val="20"/>
                      <w:lang w:val="el-GR"/>
                    </w:rPr>
                  </w:pPr>
                  <w:r w:rsidRPr="00914D74">
                    <w:rPr>
                      <w:rFonts w:ascii="Calibri" w:hAnsi="Calibri" w:cs="Arial"/>
                      <w:sz w:val="20"/>
                      <w:szCs w:val="20"/>
                      <w:lang w:val="el-GR"/>
                    </w:rPr>
                    <w:t xml:space="preserve">39 ώρες (1.56 </w:t>
                  </w:r>
                  <w:r w:rsidRPr="00914D74">
                    <w:rPr>
                      <w:rFonts w:ascii="Calibri" w:hAnsi="Calibri" w:cs="Arial"/>
                      <w:sz w:val="20"/>
                      <w:szCs w:val="20"/>
                    </w:rPr>
                    <w:t>ECTS</w:t>
                  </w:r>
                  <w:r w:rsidRPr="00914D74">
                    <w:rPr>
                      <w:rFonts w:ascii="Calibri" w:hAnsi="Calibri" w:cs="Arial"/>
                      <w:sz w:val="20"/>
                      <w:szCs w:val="20"/>
                      <w:lang w:val="el-GR"/>
                    </w:rPr>
                    <w:t>)</w:t>
                  </w:r>
                </w:p>
              </w:tc>
            </w:tr>
            <w:tr w:rsidR="00914D74" w:rsidRPr="00914D74" w:rsidTr="007673F3">
              <w:tc>
                <w:tcPr>
                  <w:tcW w:w="2467" w:type="dxa"/>
                  <w:shd w:val="clear" w:color="auto" w:fill="auto"/>
                </w:tcPr>
                <w:p w:rsidR="000F4FD4" w:rsidRPr="00914D74" w:rsidRDefault="0060608B" w:rsidP="007673F3">
                  <w:pPr>
                    <w:rPr>
                      <w:rFonts w:ascii="Calibri" w:hAnsi="Calibri"/>
                      <w:iCs/>
                      <w:sz w:val="20"/>
                      <w:szCs w:val="20"/>
                    </w:rPr>
                  </w:pPr>
                  <w:r w:rsidRPr="00914D74">
                    <w:rPr>
                      <w:rFonts w:ascii="Calibri" w:hAnsi="Calibri"/>
                      <w:iCs/>
                      <w:sz w:val="20"/>
                      <w:szCs w:val="20"/>
                      <w:lang w:val="el-GR"/>
                    </w:rPr>
                    <w:t>Προσωπική μελέτη</w:t>
                  </w:r>
                </w:p>
              </w:tc>
              <w:tc>
                <w:tcPr>
                  <w:tcW w:w="2468" w:type="dxa"/>
                </w:tcPr>
                <w:p w:rsidR="000F4FD4" w:rsidRPr="00914D74" w:rsidRDefault="0060608B" w:rsidP="007673F3">
                  <w:pPr>
                    <w:jc w:val="center"/>
                    <w:rPr>
                      <w:rFonts w:ascii="Calibri" w:hAnsi="Calibri" w:cs="Arial"/>
                      <w:sz w:val="20"/>
                      <w:szCs w:val="20"/>
                      <w:lang w:val="el-GR"/>
                    </w:rPr>
                  </w:pPr>
                  <w:r w:rsidRPr="00914D74">
                    <w:rPr>
                      <w:rFonts w:ascii="Calibri" w:hAnsi="Calibri" w:cs="Arial"/>
                      <w:sz w:val="20"/>
                      <w:szCs w:val="20"/>
                      <w:lang w:val="el-GR"/>
                    </w:rPr>
                    <w:t>83 ώρες (3.</w:t>
                  </w:r>
                  <w:r w:rsidRPr="00914D74">
                    <w:rPr>
                      <w:rFonts w:ascii="Calibri" w:hAnsi="Calibri" w:cs="Arial"/>
                      <w:sz w:val="20"/>
                      <w:szCs w:val="20"/>
                    </w:rPr>
                    <w:t>32</w:t>
                  </w:r>
                  <w:r w:rsidRPr="00914D74">
                    <w:rPr>
                      <w:rFonts w:ascii="Calibri" w:hAnsi="Calibri" w:cs="Arial"/>
                      <w:sz w:val="20"/>
                      <w:szCs w:val="20"/>
                      <w:lang w:val="el-GR"/>
                    </w:rPr>
                    <w:t xml:space="preserve"> </w:t>
                  </w:r>
                  <w:r w:rsidRPr="00914D74">
                    <w:rPr>
                      <w:rFonts w:ascii="Calibri" w:hAnsi="Calibri" w:cs="Arial"/>
                      <w:sz w:val="20"/>
                      <w:szCs w:val="20"/>
                    </w:rPr>
                    <w:t>ECTS</w:t>
                  </w:r>
                  <w:r w:rsidRPr="00914D74">
                    <w:rPr>
                      <w:rFonts w:ascii="Calibri" w:hAnsi="Calibri" w:cs="Arial"/>
                      <w:sz w:val="20"/>
                      <w:szCs w:val="20"/>
                      <w:lang w:val="el-GR"/>
                    </w:rPr>
                    <w:t>)</w:t>
                  </w:r>
                </w:p>
              </w:tc>
            </w:tr>
            <w:tr w:rsidR="00914D74" w:rsidRPr="00914D74" w:rsidTr="007673F3">
              <w:tc>
                <w:tcPr>
                  <w:tcW w:w="2467" w:type="dxa"/>
                  <w:shd w:val="clear" w:color="auto" w:fill="auto"/>
                </w:tcPr>
                <w:p w:rsidR="000F4FD4" w:rsidRPr="00914D74" w:rsidRDefault="0060608B" w:rsidP="007673F3">
                  <w:pPr>
                    <w:rPr>
                      <w:rFonts w:ascii="Calibri" w:hAnsi="Calibri"/>
                      <w:iCs/>
                      <w:sz w:val="20"/>
                      <w:szCs w:val="20"/>
                      <w:lang w:val="el-GR"/>
                    </w:rPr>
                  </w:pPr>
                  <w:r w:rsidRPr="00914D74">
                    <w:rPr>
                      <w:rFonts w:ascii="Calibri" w:hAnsi="Calibri"/>
                      <w:iCs/>
                      <w:sz w:val="20"/>
                      <w:szCs w:val="20"/>
                      <w:lang w:val="el-GR"/>
                    </w:rPr>
                    <w:t>Τελική εξέταση</w:t>
                  </w:r>
                </w:p>
              </w:tc>
              <w:tc>
                <w:tcPr>
                  <w:tcW w:w="2468" w:type="dxa"/>
                </w:tcPr>
                <w:p w:rsidR="000F4FD4" w:rsidRPr="00914D74" w:rsidRDefault="0060608B" w:rsidP="007673F3">
                  <w:pPr>
                    <w:jc w:val="center"/>
                    <w:rPr>
                      <w:rFonts w:ascii="Calibri" w:hAnsi="Calibri" w:cs="Arial"/>
                      <w:sz w:val="20"/>
                      <w:szCs w:val="20"/>
                      <w:lang w:val="el-GR"/>
                    </w:rPr>
                  </w:pPr>
                  <w:r w:rsidRPr="00914D74">
                    <w:rPr>
                      <w:rFonts w:ascii="Calibri" w:hAnsi="Calibri" w:cs="Arial"/>
                      <w:sz w:val="20"/>
                      <w:szCs w:val="20"/>
                      <w:lang w:val="el-GR"/>
                    </w:rPr>
                    <w:t>3 ώρες (0.</w:t>
                  </w:r>
                  <w:r w:rsidRPr="00914D74">
                    <w:rPr>
                      <w:rFonts w:ascii="Calibri" w:hAnsi="Calibri" w:cs="Arial"/>
                      <w:sz w:val="20"/>
                      <w:szCs w:val="20"/>
                    </w:rPr>
                    <w:t>12</w:t>
                  </w:r>
                  <w:r w:rsidRPr="00914D74">
                    <w:rPr>
                      <w:rFonts w:ascii="Calibri" w:hAnsi="Calibri" w:cs="Arial"/>
                      <w:sz w:val="20"/>
                      <w:szCs w:val="20"/>
                      <w:lang w:val="el-GR"/>
                    </w:rPr>
                    <w:t xml:space="preserve"> </w:t>
                  </w:r>
                  <w:r w:rsidRPr="00914D74">
                    <w:rPr>
                      <w:rFonts w:ascii="Calibri" w:hAnsi="Calibri" w:cs="Arial"/>
                      <w:sz w:val="20"/>
                      <w:szCs w:val="20"/>
                    </w:rPr>
                    <w:t>ECTS</w:t>
                  </w:r>
                  <w:r w:rsidRPr="00914D74">
                    <w:rPr>
                      <w:rFonts w:ascii="Calibri" w:hAnsi="Calibri" w:cs="Arial"/>
                      <w:sz w:val="20"/>
                      <w:szCs w:val="20"/>
                      <w:lang w:val="el-GR"/>
                    </w:rPr>
                    <w:t>)</w:t>
                  </w:r>
                </w:p>
              </w:tc>
            </w:tr>
            <w:tr w:rsidR="00914D74" w:rsidRPr="00914D74" w:rsidTr="007673F3">
              <w:tc>
                <w:tcPr>
                  <w:tcW w:w="2467" w:type="dxa"/>
                  <w:shd w:val="clear" w:color="auto" w:fill="auto"/>
                </w:tcPr>
                <w:p w:rsidR="000F4FD4" w:rsidRPr="00914D74" w:rsidRDefault="000F4FD4" w:rsidP="007673F3">
                  <w:pPr>
                    <w:rPr>
                      <w:rFonts w:ascii="Calibri" w:hAnsi="Calibri"/>
                      <w:iCs/>
                      <w:sz w:val="20"/>
                      <w:szCs w:val="20"/>
                      <w:lang w:val="el-GR"/>
                    </w:rPr>
                  </w:pPr>
                </w:p>
              </w:tc>
              <w:tc>
                <w:tcPr>
                  <w:tcW w:w="2468" w:type="dxa"/>
                </w:tcPr>
                <w:p w:rsidR="000F4FD4" w:rsidRPr="00914D74" w:rsidRDefault="000F4FD4" w:rsidP="007673F3">
                  <w:pPr>
                    <w:jc w:val="center"/>
                    <w:rPr>
                      <w:rFonts w:ascii="Calibri" w:hAnsi="Calibri" w:cs="Arial"/>
                      <w:sz w:val="20"/>
                      <w:szCs w:val="20"/>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jc w:val="center"/>
                    <w:rPr>
                      <w:rFonts w:ascii="Calibri" w:hAnsi="Calibri" w:cs="Arial"/>
                      <w:sz w:val="20"/>
                      <w:szCs w:val="20"/>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rPr>
                      <w:rFonts w:ascii="Calibri" w:hAnsi="Calibri" w:cs="Arial"/>
                      <w:i/>
                      <w:sz w:val="16"/>
                      <w:szCs w:val="16"/>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rPr>
                      <w:rFonts w:ascii="Calibri" w:hAnsi="Calibri" w:cs="Arial"/>
                      <w:i/>
                      <w:sz w:val="16"/>
                      <w:szCs w:val="16"/>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rPr>
                      <w:rFonts w:ascii="Calibri" w:hAnsi="Calibri" w:cs="Arial"/>
                      <w:i/>
                      <w:sz w:val="16"/>
                      <w:szCs w:val="16"/>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jc w:val="center"/>
                    <w:rPr>
                      <w:rFonts w:ascii="Calibri" w:hAnsi="Calibri" w:cs="Arial"/>
                      <w:sz w:val="20"/>
                      <w:szCs w:val="20"/>
                      <w:lang w:val="el-GR"/>
                    </w:rPr>
                  </w:pPr>
                </w:p>
              </w:tc>
            </w:tr>
            <w:tr w:rsidR="00914D74" w:rsidRPr="00914D74" w:rsidTr="007673F3">
              <w:tc>
                <w:tcPr>
                  <w:tcW w:w="2467" w:type="dxa"/>
                </w:tcPr>
                <w:p w:rsidR="000F4FD4" w:rsidRPr="00914D74" w:rsidRDefault="000F4FD4" w:rsidP="007673F3">
                  <w:pPr>
                    <w:rPr>
                      <w:rFonts w:ascii="Calibri" w:hAnsi="Calibri"/>
                      <w:iCs/>
                      <w:sz w:val="22"/>
                      <w:szCs w:val="22"/>
                      <w:lang w:val="el-GR"/>
                    </w:rPr>
                  </w:pPr>
                  <w:r w:rsidRPr="00914D74">
                    <w:rPr>
                      <w:rFonts w:ascii="Calibri" w:hAnsi="Calibri"/>
                      <w:iCs/>
                      <w:sz w:val="22"/>
                      <w:szCs w:val="22"/>
                      <w:lang w:val="el-GR"/>
                    </w:rPr>
                    <w:t xml:space="preserve">Σύνολο Μαθήματος </w:t>
                  </w:r>
                </w:p>
              </w:tc>
              <w:tc>
                <w:tcPr>
                  <w:tcW w:w="2468" w:type="dxa"/>
                  <w:vAlign w:val="center"/>
                </w:tcPr>
                <w:p w:rsidR="000F4FD4" w:rsidRPr="00914D74" w:rsidRDefault="0060608B" w:rsidP="007673F3">
                  <w:pPr>
                    <w:jc w:val="center"/>
                    <w:rPr>
                      <w:rFonts w:ascii="Calibri" w:hAnsi="Calibri" w:cs="Arial"/>
                      <w:sz w:val="20"/>
                      <w:szCs w:val="20"/>
                      <w:lang w:val="el-GR"/>
                    </w:rPr>
                  </w:pPr>
                  <w:r w:rsidRPr="00914D74">
                    <w:rPr>
                      <w:rFonts w:ascii="Calibri" w:hAnsi="Calibri" w:cs="Arial"/>
                      <w:sz w:val="20"/>
                      <w:szCs w:val="20"/>
                    </w:rPr>
                    <w:t xml:space="preserve">125 </w:t>
                  </w:r>
                  <w:r w:rsidRPr="00914D74">
                    <w:rPr>
                      <w:rFonts w:ascii="Calibri" w:hAnsi="Calibri" w:cs="Arial"/>
                      <w:sz w:val="20"/>
                      <w:szCs w:val="20"/>
                      <w:lang w:val="el-GR"/>
                    </w:rPr>
                    <w:t xml:space="preserve">ώρες (5 </w:t>
                  </w:r>
                  <w:r w:rsidRPr="00914D74">
                    <w:rPr>
                      <w:rFonts w:ascii="Calibri" w:hAnsi="Calibri" w:cs="Arial"/>
                      <w:sz w:val="20"/>
                      <w:szCs w:val="20"/>
                    </w:rPr>
                    <w:t>ECTS</w:t>
                  </w:r>
                  <w:r w:rsidRPr="00914D74">
                    <w:rPr>
                      <w:rFonts w:ascii="Calibri" w:hAnsi="Calibri" w:cs="Arial"/>
                      <w:sz w:val="20"/>
                      <w:szCs w:val="20"/>
                      <w:lang w:val="el-GR"/>
                    </w:rPr>
                    <w:t>)</w:t>
                  </w:r>
                </w:p>
              </w:tc>
            </w:tr>
          </w:tbl>
          <w:p w:rsidR="000F4FD4" w:rsidRPr="00914D74" w:rsidRDefault="000F4FD4" w:rsidP="007673F3">
            <w:pPr>
              <w:rPr>
                <w:rFonts w:ascii="Tahoma" w:hAnsi="Tahoma" w:cs="Tahoma"/>
                <w:lang w:val="el-GR"/>
              </w:rPr>
            </w:pPr>
          </w:p>
        </w:tc>
      </w:tr>
      <w:tr w:rsidR="000F4FD4" w:rsidRPr="0014586E"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RPr="00705AAD">
              <w:rPr>
                <w:rFonts w:ascii="Calibri" w:hAnsi="Calibri" w:cs="Arial"/>
                <w:i/>
                <w:sz w:val="16"/>
                <w:szCs w:val="16"/>
                <w:lang w:val="el-GR"/>
              </w:rPr>
              <w:lastRenderedPageBreak/>
              <w:t>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E62EE4" w:rsidRDefault="00E62EE4" w:rsidP="007673F3">
            <w:pPr>
              <w:rPr>
                <w:rFonts w:ascii="Calibri" w:hAnsi="Calibri" w:cs="Arial"/>
                <w:sz w:val="20"/>
                <w:szCs w:val="20"/>
                <w:lang w:val="el-GR"/>
              </w:rPr>
            </w:pPr>
            <w:r>
              <w:rPr>
                <w:rFonts w:ascii="Calibri" w:hAnsi="Calibri" w:cs="Arial"/>
                <w:sz w:val="20"/>
                <w:szCs w:val="20"/>
                <w:lang w:val="el-GR"/>
              </w:rPr>
              <w:t xml:space="preserve">Οι φοιτητές εξετάζονται στην ελληνική γλώσσα. Καλούνται να απαντήσουν σε ερωτήσεις σύντομης απάντησης. </w:t>
            </w: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12374A" w:rsidTr="007673F3">
        <w:tc>
          <w:tcPr>
            <w:tcW w:w="8472" w:type="dxa"/>
          </w:tcPr>
          <w:p w:rsidR="004605DC" w:rsidRPr="004605DC" w:rsidRDefault="004605DC" w:rsidP="004605DC">
            <w:pPr>
              <w:pStyle w:val="NormalWeb"/>
              <w:spacing w:before="0" w:beforeAutospacing="0" w:after="0" w:afterAutospacing="0"/>
              <w:jc w:val="both"/>
              <w:rPr>
                <w:rFonts w:asciiTheme="minorHAnsi" w:hAnsiTheme="minorHAnsi" w:cstheme="minorHAnsi"/>
                <w:sz w:val="20"/>
                <w:szCs w:val="20"/>
              </w:rPr>
            </w:pPr>
            <w:r w:rsidRPr="004605DC">
              <w:rPr>
                <w:rFonts w:asciiTheme="minorHAnsi" w:hAnsiTheme="minorHAnsi" w:cstheme="minorHAnsi"/>
                <w:i/>
                <w:sz w:val="20"/>
                <w:szCs w:val="20"/>
              </w:rPr>
              <w:t>Εγχειρίδια του μαθήματος</w:t>
            </w:r>
            <w:r w:rsidRPr="004605DC">
              <w:rPr>
                <w:rFonts w:asciiTheme="minorHAnsi" w:hAnsiTheme="minorHAnsi" w:cstheme="minorHAnsi"/>
                <w:i/>
                <w:sz w:val="20"/>
                <w:szCs w:val="20"/>
              </w:rPr>
              <w:softHyphen/>
            </w:r>
            <w:r w:rsidRPr="004605DC">
              <w:rPr>
                <w:rFonts w:asciiTheme="minorHAnsi" w:hAnsiTheme="minorHAnsi" w:cstheme="minorHAnsi"/>
                <w:sz w:val="20"/>
                <w:szCs w:val="20"/>
              </w:rPr>
              <w:t>:</w:t>
            </w:r>
          </w:p>
          <w:p w:rsidR="004605DC" w:rsidRPr="004605DC" w:rsidRDefault="004605DC" w:rsidP="004605DC">
            <w:pPr>
              <w:pStyle w:val="NormalWeb"/>
              <w:spacing w:before="0" w:beforeAutospacing="0" w:after="0" w:afterAutospacing="0"/>
              <w:jc w:val="both"/>
              <w:rPr>
                <w:rFonts w:asciiTheme="minorHAnsi" w:hAnsiTheme="minorHAnsi" w:cstheme="minorHAnsi"/>
                <w:sz w:val="20"/>
                <w:szCs w:val="20"/>
              </w:rPr>
            </w:pPr>
            <w:r w:rsidRPr="004605DC">
              <w:rPr>
                <w:rFonts w:asciiTheme="minorHAnsi" w:hAnsiTheme="minorHAnsi" w:cstheme="minorHAnsi"/>
                <w:sz w:val="20"/>
                <w:szCs w:val="20"/>
              </w:rPr>
              <w:t xml:space="preserve">Comrie et al. 2004. </w:t>
            </w:r>
            <w:r w:rsidRPr="004605DC">
              <w:rPr>
                <w:rFonts w:asciiTheme="minorHAnsi" w:hAnsiTheme="minorHAnsi" w:cstheme="minorHAnsi"/>
                <w:i/>
                <w:sz w:val="20"/>
                <w:szCs w:val="20"/>
              </w:rPr>
              <w:t>Οι γλώσσες του κόσμου</w:t>
            </w:r>
            <w:r w:rsidRPr="004605DC">
              <w:rPr>
                <w:rFonts w:asciiTheme="minorHAnsi" w:hAnsiTheme="minorHAnsi" w:cstheme="minorHAnsi"/>
                <w:sz w:val="20"/>
                <w:szCs w:val="20"/>
              </w:rPr>
              <w:t xml:space="preserve">. Εκδόσεις Σαββάλας. </w:t>
            </w:r>
          </w:p>
          <w:p w:rsidR="004605DC" w:rsidRPr="004605DC" w:rsidRDefault="004605DC" w:rsidP="004605DC">
            <w:pPr>
              <w:pStyle w:val="NormalWeb"/>
              <w:spacing w:before="0" w:beforeAutospacing="0" w:after="0" w:afterAutospacing="0"/>
              <w:jc w:val="both"/>
              <w:rPr>
                <w:rFonts w:asciiTheme="minorHAnsi" w:hAnsiTheme="minorHAnsi" w:cstheme="minorHAnsi"/>
                <w:sz w:val="20"/>
                <w:szCs w:val="20"/>
              </w:rPr>
            </w:pPr>
            <w:r w:rsidRPr="004605DC">
              <w:rPr>
                <w:rFonts w:asciiTheme="minorHAnsi" w:hAnsiTheme="minorHAnsi" w:cstheme="minorHAnsi"/>
                <w:sz w:val="20"/>
                <w:szCs w:val="20"/>
              </w:rPr>
              <w:t xml:space="preserve">Σελλά-Μάζη, Ε. 2004. </w:t>
            </w:r>
            <w:r w:rsidRPr="004605DC">
              <w:rPr>
                <w:rFonts w:asciiTheme="minorHAnsi" w:hAnsiTheme="minorHAnsi" w:cstheme="minorHAnsi"/>
                <w:i/>
                <w:sz w:val="20"/>
                <w:szCs w:val="20"/>
              </w:rPr>
              <w:t>Στοιχεία αντιπαραβολικής γραμματικής Ελληνικής-Τουρκικής</w:t>
            </w:r>
            <w:r w:rsidRPr="004605DC">
              <w:rPr>
                <w:rFonts w:asciiTheme="minorHAnsi" w:hAnsiTheme="minorHAnsi" w:cstheme="minorHAnsi"/>
                <w:sz w:val="20"/>
                <w:szCs w:val="20"/>
              </w:rPr>
              <w:t xml:space="preserve">. Εκδόσεις Παπαζήσης  </w:t>
            </w:r>
          </w:p>
          <w:p w:rsidR="004605DC" w:rsidRPr="004605DC" w:rsidRDefault="004605DC" w:rsidP="004605DC">
            <w:pPr>
              <w:pStyle w:val="NormalWeb"/>
              <w:spacing w:before="0" w:beforeAutospacing="0" w:after="0" w:afterAutospacing="0"/>
              <w:rPr>
                <w:rFonts w:asciiTheme="minorHAnsi" w:hAnsiTheme="minorHAnsi" w:cstheme="minorHAnsi"/>
                <w:sz w:val="20"/>
                <w:szCs w:val="20"/>
              </w:rPr>
            </w:pPr>
            <w:r w:rsidRPr="004605DC">
              <w:rPr>
                <w:rFonts w:asciiTheme="minorHAnsi" w:hAnsiTheme="minorHAnsi" w:cstheme="minorHAnsi"/>
                <w:i/>
                <w:sz w:val="20"/>
                <w:szCs w:val="20"/>
              </w:rPr>
              <w:t>Σημειώσεις του μαθήματος</w:t>
            </w:r>
          </w:p>
          <w:p w:rsidR="004605DC" w:rsidRPr="004605DC" w:rsidRDefault="004605DC" w:rsidP="004605DC">
            <w:pPr>
              <w:ind w:left="360"/>
              <w:rPr>
                <w:rFonts w:asciiTheme="minorHAnsi" w:hAnsiTheme="minorHAnsi" w:cstheme="minorHAnsi"/>
                <w:b/>
                <w:sz w:val="20"/>
                <w:szCs w:val="20"/>
                <w:lang w:val="el-GR"/>
              </w:rPr>
            </w:pPr>
          </w:p>
          <w:p w:rsidR="004605DC" w:rsidRPr="004605DC" w:rsidRDefault="004605DC" w:rsidP="004605DC">
            <w:pPr>
              <w:rPr>
                <w:rFonts w:asciiTheme="minorHAnsi" w:hAnsiTheme="minorHAnsi" w:cstheme="minorHAnsi"/>
                <w:b/>
                <w:sz w:val="20"/>
                <w:szCs w:val="20"/>
                <w:lang w:val="el-GR"/>
              </w:rPr>
            </w:pPr>
            <w:r w:rsidRPr="004605DC">
              <w:rPr>
                <w:rFonts w:asciiTheme="minorHAnsi" w:hAnsiTheme="minorHAnsi" w:cstheme="minorHAnsi"/>
                <w:i/>
                <w:sz w:val="20"/>
                <w:szCs w:val="20"/>
                <w:lang w:val="el-GR"/>
              </w:rPr>
              <w:t>Συμπληρωματική βιβλιογραφία</w:t>
            </w:r>
            <w:r w:rsidRPr="004605DC">
              <w:rPr>
                <w:rFonts w:asciiTheme="minorHAnsi" w:hAnsiTheme="minorHAnsi" w:cstheme="minorHAnsi"/>
                <w:b/>
                <w:sz w:val="20"/>
                <w:szCs w:val="20"/>
                <w:lang w:val="el-GR"/>
              </w:rPr>
              <w:t>:</w:t>
            </w:r>
          </w:p>
          <w:p w:rsidR="004605DC" w:rsidRPr="004605DC" w:rsidRDefault="004605DC" w:rsidP="004605DC">
            <w:pPr>
              <w:spacing w:line="360" w:lineRule="auto"/>
              <w:jc w:val="both"/>
              <w:rPr>
                <w:rFonts w:asciiTheme="minorHAnsi" w:hAnsiTheme="minorHAnsi" w:cstheme="minorHAnsi"/>
                <w:sz w:val="20"/>
                <w:szCs w:val="20"/>
              </w:rPr>
            </w:pPr>
            <w:r w:rsidRPr="004605DC">
              <w:rPr>
                <w:rFonts w:asciiTheme="minorHAnsi" w:hAnsiTheme="minorHAnsi" w:cstheme="minorHAnsi"/>
                <w:sz w:val="20"/>
                <w:szCs w:val="20"/>
                <w:lang w:val="fr-FR"/>
              </w:rPr>
              <w:t>Aoun</w:t>
            </w:r>
            <w:r w:rsidRPr="0014586E">
              <w:rPr>
                <w:rFonts w:asciiTheme="minorHAnsi" w:hAnsiTheme="minorHAnsi" w:cstheme="minorHAnsi"/>
                <w:sz w:val="20"/>
                <w:szCs w:val="20"/>
                <w:lang w:val="el-GR"/>
              </w:rPr>
              <w:t xml:space="preserve">,  </w:t>
            </w:r>
            <w:r w:rsidRPr="004605DC">
              <w:rPr>
                <w:rFonts w:asciiTheme="minorHAnsi" w:hAnsiTheme="minorHAnsi" w:cstheme="minorHAnsi"/>
                <w:sz w:val="20"/>
                <w:szCs w:val="20"/>
                <w:lang w:val="fr-FR"/>
              </w:rPr>
              <w:t>E</w:t>
            </w:r>
            <w:r w:rsidRPr="0014586E">
              <w:rPr>
                <w:rFonts w:asciiTheme="minorHAnsi" w:hAnsiTheme="minorHAnsi" w:cstheme="minorHAnsi"/>
                <w:sz w:val="20"/>
                <w:szCs w:val="20"/>
                <w:lang w:val="el-GR"/>
              </w:rPr>
              <w:t xml:space="preserve">. </w:t>
            </w:r>
            <w:r w:rsidRPr="004605DC">
              <w:rPr>
                <w:rFonts w:asciiTheme="minorHAnsi" w:hAnsiTheme="minorHAnsi" w:cstheme="minorHAnsi"/>
                <w:sz w:val="20"/>
                <w:szCs w:val="20"/>
                <w:lang w:val="fr-FR"/>
              </w:rPr>
              <w:t>J</w:t>
            </w:r>
            <w:r w:rsidRPr="0014586E">
              <w:rPr>
                <w:rFonts w:asciiTheme="minorHAnsi" w:hAnsiTheme="minorHAnsi" w:cstheme="minorHAnsi"/>
                <w:sz w:val="20"/>
                <w:szCs w:val="20"/>
                <w:lang w:val="el-GR"/>
              </w:rPr>
              <w:t xml:space="preserve">. </w:t>
            </w:r>
            <w:r w:rsidRPr="004605DC">
              <w:rPr>
                <w:rFonts w:asciiTheme="minorHAnsi" w:hAnsiTheme="minorHAnsi" w:cstheme="minorHAnsi"/>
                <w:sz w:val="20"/>
                <w:szCs w:val="20"/>
                <w:lang w:val="fr-FR"/>
              </w:rPr>
              <w:t>et</w:t>
            </w:r>
            <w:r w:rsidRPr="0014586E">
              <w:rPr>
                <w:rFonts w:asciiTheme="minorHAnsi" w:hAnsiTheme="minorHAnsi" w:cstheme="minorHAnsi"/>
                <w:sz w:val="20"/>
                <w:szCs w:val="20"/>
                <w:lang w:val="el-GR"/>
              </w:rPr>
              <w:t xml:space="preserve"> </w:t>
            </w:r>
            <w:r w:rsidRPr="004605DC">
              <w:rPr>
                <w:rFonts w:asciiTheme="minorHAnsi" w:hAnsiTheme="minorHAnsi" w:cstheme="minorHAnsi"/>
                <w:sz w:val="20"/>
                <w:szCs w:val="20"/>
                <w:lang w:val="fr-FR"/>
              </w:rPr>
              <w:t>al</w:t>
            </w:r>
            <w:r w:rsidRPr="0014586E">
              <w:rPr>
                <w:rFonts w:asciiTheme="minorHAnsi" w:hAnsiTheme="minorHAnsi" w:cstheme="minorHAnsi"/>
                <w:sz w:val="20"/>
                <w:szCs w:val="20"/>
                <w:lang w:val="el-GR"/>
              </w:rPr>
              <w:t xml:space="preserve">. 2010. </w:t>
            </w:r>
            <w:r w:rsidRPr="004605DC">
              <w:rPr>
                <w:rFonts w:asciiTheme="minorHAnsi" w:hAnsiTheme="minorHAnsi" w:cstheme="minorHAnsi"/>
                <w:i/>
                <w:sz w:val="20"/>
                <w:szCs w:val="20"/>
              </w:rPr>
              <w:t xml:space="preserve">The syntax of Arabic. </w:t>
            </w:r>
            <w:r w:rsidRPr="004605DC">
              <w:rPr>
                <w:rFonts w:asciiTheme="minorHAnsi" w:hAnsiTheme="minorHAnsi" w:cstheme="minorHAnsi"/>
                <w:sz w:val="20"/>
                <w:szCs w:val="20"/>
              </w:rPr>
              <w:t xml:space="preserve">Cambridge University Press. </w:t>
            </w:r>
          </w:p>
          <w:p w:rsidR="004605DC" w:rsidRPr="004605DC" w:rsidRDefault="004605DC" w:rsidP="004605DC">
            <w:pPr>
              <w:spacing w:line="360" w:lineRule="auto"/>
              <w:ind w:left="360" w:hanging="360"/>
              <w:jc w:val="both"/>
              <w:rPr>
                <w:rFonts w:asciiTheme="minorHAnsi" w:hAnsiTheme="minorHAnsi" w:cstheme="minorHAnsi"/>
                <w:sz w:val="20"/>
                <w:szCs w:val="20"/>
              </w:rPr>
            </w:pPr>
            <w:r w:rsidRPr="004605DC">
              <w:rPr>
                <w:rFonts w:asciiTheme="minorHAnsi" w:hAnsiTheme="minorHAnsi" w:cstheme="minorHAnsi"/>
                <w:sz w:val="20"/>
                <w:szCs w:val="20"/>
              </w:rPr>
              <w:t xml:space="preserve">Beekes, R.S.P. 1995: </w:t>
            </w:r>
            <w:r w:rsidRPr="004605DC">
              <w:rPr>
                <w:rFonts w:asciiTheme="minorHAnsi" w:hAnsiTheme="minorHAnsi" w:cstheme="minorHAnsi"/>
                <w:i/>
                <w:iCs/>
                <w:sz w:val="20"/>
                <w:szCs w:val="20"/>
              </w:rPr>
              <w:t>Comparative Indo-European Linguistics: An Introduction.</w:t>
            </w:r>
            <w:r w:rsidRPr="004605DC">
              <w:rPr>
                <w:rFonts w:asciiTheme="minorHAnsi" w:hAnsiTheme="minorHAnsi" w:cstheme="minorHAnsi"/>
                <w:sz w:val="20"/>
                <w:szCs w:val="20"/>
              </w:rPr>
              <w:t xml:space="preserve"> The Hague (ελλ. μτφρ. Θεσσαλονίκη 2004). </w:t>
            </w:r>
          </w:p>
          <w:p w:rsidR="004605DC" w:rsidRPr="004605DC" w:rsidRDefault="004605DC" w:rsidP="004605DC">
            <w:pPr>
              <w:spacing w:line="360" w:lineRule="auto"/>
              <w:ind w:left="360" w:hanging="360"/>
              <w:rPr>
                <w:rFonts w:asciiTheme="minorHAnsi" w:hAnsiTheme="minorHAnsi" w:cstheme="minorHAnsi"/>
                <w:sz w:val="20"/>
                <w:szCs w:val="20"/>
              </w:rPr>
            </w:pPr>
            <w:r w:rsidRPr="004605DC">
              <w:rPr>
                <w:rFonts w:asciiTheme="minorHAnsi" w:hAnsiTheme="minorHAnsi" w:cstheme="minorHAnsi"/>
                <w:sz w:val="20"/>
                <w:szCs w:val="20"/>
              </w:rPr>
              <w:t xml:space="preserve">Bellem, A. 2007. </w:t>
            </w:r>
            <w:r w:rsidRPr="004605DC">
              <w:rPr>
                <w:rFonts w:asciiTheme="minorHAnsi" w:hAnsiTheme="minorHAnsi" w:cstheme="minorHAnsi"/>
                <w:i/>
                <w:sz w:val="20"/>
                <w:szCs w:val="20"/>
              </w:rPr>
              <w:t>Towards a comparative typology of emphatics: across Semitic and into Arabic dialect phonology.</w:t>
            </w:r>
            <w:r w:rsidRPr="004605DC">
              <w:rPr>
                <w:rFonts w:asciiTheme="minorHAnsi" w:hAnsiTheme="minorHAnsi" w:cstheme="minorHAnsi"/>
                <w:sz w:val="20"/>
                <w:szCs w:val="20"/>
              </w:rPr>
              <w:t xml:space="preserve"> Διδακτορική διατριβή. SOAS University of London. </w:t>
            </w:r>
          </w:p>
          <w:p w:rsidR="004605DC" w:rsidRPr="004605DC" w:rsidRDefault="004605DC" w:rsidP="004605DC">
            <w:pPr>
              <w:spacing w:line="360" w:lineRule="auto"/>
              <w:ind w:left="360" w:hanging="360"/>
              <w:rPr>
                <w:rFonts w:asciiTheme="minorHAnsi" w:hAnsiTheme="minorHAnsi" w:cstheme="minorHAnsi"/>
                <w:iCs/>
                <w:sz w:val="20"/>
                <w:szCs w:val="20"/>
              </w:rPr>
            </w:pPr>
            <w:r w:rsidRPr="004605DC">
              <w:rPr>
                <w:rFonts w:asciiTheme="minorHAnsi" w:hAnsiTheme="minorHAnsi" w:cstheme="minorHAnsi"/>
                <w:sz w:val="20"/>
                <w:szCs w:val="20"/>
              </w:rPr>
              <w:t xml:space="preserve">Bopp, F. 1816. </w:t>
            </w:r>
            <w:r w:rsidRPr="004605DC">
              <w:rPr>
                <w:rFonts w:asciiTheme="minorHAnsi" w:hAnsiTheme="minorHAnsi" w:cstheme="minorHAnsi"/>
                <w:i/>
                <w:iCs/>
                <w:sz w:val="20"/>
                <w:szCs w:val="20"/>
              </w:rPr>
              <w:t xml:space="preserve">Über das Conjugationssystem der Sanskritsprache in Vergleichung mit jenem der griechischen, lateinischen, persischen und germanischen Sprache. </w:t>
            </w:r>
            <w:r w:rsidRPr="004605DC">
              <w:rPr>
                <w:rFonts w:asciiTheme="minorHAnsi" w:hAnsiTheme="minorHAnsi" w:cstheme="minorHAnsi"/>
                <w:iCs/>
                <w:sz w:val="20"/>
                <w:szCs w:val="20"/>
              </w:rPr>
              <w:t xml:space="preserve">Frankkfurt Am Main. </w:t>
            </w:r>
          </w:p>
          <w:p w:rsidR="004605DC" w:rsidRPr="004605DC" w:rsidRDefault="004605DC" w:rsidP="004605DC">
            <w:pPr>
              <w:spacing w:line="360" w:lineRule="auto"/>
              <w:ind w:left="360" w:hanging="360"/>
              <w:rPr>
                <w:rFonts w:asciiTheme="minorHAnsi" w:hAnsiTheme="minorHAnsi" w:cstheme="minorHAnsi"/>
                <w:iCs/>
                <w:sz w:val="20"/>
                <w:szCs w:val="20"/>
              </w:rPr>
            </w:pPr>
            <w:r w:rsidRPr="004605DC">
              <w:rPr>
                <w:rFonts w:asciiTheme="minorHAnsi" w:hAnsiTheme="minorHAnsi" w:cstheme="minorHAnsi"/>
                <w:iCs/>
                <w:sz w:val="20"/>
                <w:szCs w:val="20"/>
              </w:rPr>
              <w:t xml:space="preserve">Göksel, A. &amp; Kerslake, C. 2005. </w:t>
            </w:r>
            <w:r w:rsidRPr="004605DC">
              <w:rPr>
                <w:rFonts w:asciiTheme="minorHAnsi" w:hAnsiTheme="minorHAnsi" w:cstheme="minorHAnsi"/>
                <w:i/>
                <w:iCs/>
                <w:sz w:val="20"/>
                <w:szCs w:val="20"/>
              </w:rPr>
              <w:t>Turkish. A comprehensive grammar</w:t>
            </w:r>
            <w:r w:rsidRPr="004605DC">
              <w:rPr>
                <w:rFonts w:asciiTheme="minorHAnsi" w:hAnsiTheme="minorHAnsi" w:cstheme="minorHAnsi"/>
                <w:iCs/>
                <w:sz w:val="20"/>
                <w:szCs w:val="20"/>
              </w:rPr>
              <w:t xml:space="preserve">. Routledge. </w:t>
            </w:r>
          </w:p>
          <w:p w:rsidR="004605DC" w:rsidRPr="004605DC" w:rsidRDefault="004605DC" w:rsidP="004605DC">
            <w:pPr>
              <w:spacing w:line="360" w:lineRule="auto"/>
              <w:ind w:left="360" w:hanging="360"/>
              <w:rPr>
                <w:rFonts w:asciiTheme="minorHAnsi" w:hAnsiTheme="minorHAnsi" w:cstheme="minorHAnsi"/>
                <w:iCs/>
                <w:sz w:val="20"/>
                <w:szCs w:val="20"/>
              </w:rPr>
            </w:pPr>
            <w:r w:rsidRPr="004605DC">
              <w:rPr>
                <w:rFonts w:asciiTheme="minorHAnsi" w:hAnsiTheme="minorHAnsi" w:cstheme="minorHAnsi"/>
                <w:iCs/>
                <w:sz w:val="20"/>
                <w:szCs w:val="20"/>
              </w:rPr>
              <w:t xml:space="preserve">Glinert, L. 1989. </w:t>
            </w:r>
            <w:r w:rsidRPr="004605DC">
              <w:rPr>
                <w:rFonts w:asciiTheme="minorHAnsi" w:hAnsiTheme="minorHAnsi" w:cstheme="minorHAnsi"/>
                <w:i/>
                <w:iCs/>
                <w:sz w:val="20"/>
                <w:szCs w:val="20"/>
              </w:rPr>
              <w:t xml:space="preserve">The grammar of Modern Hebrew. </w:t>
            </w:r>
            <w:r w:rsidRPr="004605DC">
              <w:rPr>
                <w:rFonts w:asciiTheme="minorHAnsi" w:hAnsiTheme="minorHAnsi" w:cstheme="minorHAnsi"/>
                <w:iCs/>
                <w:sz w:val="20"/>
                <w:szCs w:val="20"/>
              </w:rPr>
              <w:t xml:space="preserve">Cambridge University Press. </w:t>
            </w:r>
          </w:p>
          <w:p w:rsidR="004605DC" w:rsidRPr="004605DC" w:rsidRDefault="004605DC" w:rsidP="004605DC">
            <w:pPr>
              <w:spacing w:line="360" w:lineRule="auto"/>
              <w:ind w:left="360" w:hanging="360"/>
              <w:jc w:val="both"/>
              <w:rPr>
                <w:rFonts w:asciiTheme="minorHAnsi" w:hAnsiTheme="minorHAnsi" w:cstheme="minorHAnsi"/>
                <w:sz w:val="20"/>
                <w:szCs w:val="20"/>
              </w:rPr>
            </w:pPr>
            <w:r w:rsidRPr="004605DC">
              <w:rPr>
                <w:rFonts w:asciiTheme="minorHAnsi" w:hAnsiTheme="minorHAnsi" w:cstheme="minorHAnsi"/>
                <w:sz w:val="20"/>
                <w:szCs w:val="20"/>
              </w:rPr>
              <w:t xml:space="preserve">Gragg, G. 2004. </w:t>
            </w:r>
            <w:r w:rsidRPr="004605DC">
              <w:rPr>
                <w:rFonts w:asciiTheme="minorHAnsi" w:hAnsiTheme="minorHAnsi" w:cstheme="minorHAnsi"/>
                <w:i/>
                <w:iCs/>
                <w:sz w:val="20"/>
                <w:szCs w:val="20"/>
              </w:rPr>
              <w:t>The Cambridge Encyclopedia of the World's Ancient Languages</w:t>
            </w:r>
            <w:r w:rsidRPr="004605DC">
              <w:rPr>
                <w:rFonts w:asciiTheme="minorHAnsi" w:hAnsiTheme="minorHAnsi" w:cstheme="minorHAnsi"/>
                <w:sz w:val="20"/>
                <w:szCs w:val="20"/>
              </w:rPr>
              <w:t xml:space="preserve">, Roger D. Woodard (επιμ.). </w:t>
            </w:r>
          </w:p>
          <w:p w:rsidR="004605DC" w:rsidRPr="004605DC" w:rsidRDefault="004605DC" w:rsidP="004605DC">
            <w:pPr>
              <w:spacing w:line="360" w:lineRule="auto"/>
              <w:ind w:left="360" w:hanging="360"/>
              <w:rPr>
                <w:rFonts w:asciiTheme="minorHAnsi" w:hAnsiTheme="minorHAnsi" w:cstheme="minorHAnsi"/>
                <w:sz w:val="20"/>
                <w:szCs w:val="20"/>
              </w:rPr>
            </w:pPr>
            <w:r w:rsidRPr="004605DC">
              <w:rPr>
                <w:rFonts w:asciiTheme="minorHAnsi" w:hAnsiTheme="minorHAnsi" w:cstheme="minorHAnsi"/>
                <w:sz w:val="20"/>
                <w:szCs w:val="20"/>
              </w:rPr>
              <w:t xml:space="preserve">Hoad T.F., 1986: </w:t>
            </w:r>
            <w:r w:rsidRPr="004605DC">
              <w:rPr>
                <w:rFonts w:asciiTheme="minorHAnsi" w:hAnsiTheme="minorHAnsi" w:cstheme="minorHAnsi"/>
                <w:i/>
                <w:iCs/>
                <w:sz w:val="20"/>
                <w:szCs w:val="20"/>
              </w:rPr>
              <w:t>The Concise Oxford Dictionary of English Etymology</w:t>
            </w:r>
            <w:r w:rsidRPr="004605DC">
              <w:rPr>
                <w:rFonts w:asciiTheme="minorHAnsi" w:hAnsiTheme="minorHAnsi" w:cstheme="minorHAnsi"/>
                <w:sz w:val="20"/>
                <w:szCs w:val="20"/>
              </w:rPr>
              <w:t xml:space="preserve">. Oxford. </w:t>
            </w:r>
          </w:p>
          <w:p w:rsidR="004605DC" w:rsidRPr="004605DC" w:rsidRDefault="004605DC" w:rsidP="004605DC">
            <w:pPr>
              <w:spacing w:line="360" w:lineRule="auto"/>
              <w:jc w:val="both"/>
              <w:rPr>
                <w:rFonts w:asciiTheme="minorHAnsi" w:hAnsiTheme="minorHAnsi" w:cstheme="minorHAnsi"/>
                <w:i/>
                <w:sz w:val="20"/>
                <w:szCs w:val="20"/>
              </w:rPr>
            </w:pPr>
            <w:r w:rsidRPr="004605DC">
              <w:rPr>
                <w:rFonts w:asciiTheme="minorHAnsi" w:hAnsiTheme="minorHAnsi" w:cstheme="minorHAnsi"/>
                <w:sz w:val="20"/>
                <w:szCs w:val="20"/>
              </w:rPr>
              <w:t xml:space="preserve">Jones, William, Sir. 1786. </w:t>
            </w:r>
            <w:r w:rsidRPr="004605DC">
              <w:rPr>
                <w:rFonts w:asciiTheme="minorHAnsi" w:hAnsiTheme="minorHAnsi" w:cstheme="minorHAnsi"/>
                <w:i/>
                <w:sz w:val="20"/>
                <w:szCs w:val="20"/>
              </w:rPr>
              <w:t xml:space="preserve">The sanskrit language.  </w:t>
            </w:r>
          </w:p>
          <w:p w:rsidR="004605DC" w:rsidRPr="004605DC" w:rsidRDefault="004605DC" w:rsidP="004605DC">
            <w:pPr>
              <w:spacing w:line="360" w:lineRule="auto"/>
              <w:ind w:left="360" w:hanging="360"/>
              <w:rPr>
                <w:rFonts w:asciiTheme="minorHAnsi" w:hAnsiTheme="minorHAnsi" w:cstheme="minorHAnsi"/>
                <w:sz w:val="20"/>
                <w:szCs w:val="20"/>
              </w:rPr>
            </w:pPr>
            <w:r w:rsidRPr="004605DC">
              <w:rPr>
                <w:rFonts w:asciiTheme="minorHAnsi" w:hAnsiTheme="minorHAnsi" w:cstheme="minorHAnsi"/>
                <w:sz w:val="20"/>
                <w:szCs w:val="20"/>
              </w:rPr>
              <w:t xml:space="preserve">Jones, William, Sir. 1970. </w:t>
            </w:r>
            <w:r w:rsidRPr="004605DC">
              <w:rPr>
                <w:rFonts w:asciiTheme="minorHAnsi" w:hAnsiTheme="minorHAnsi" w:cstheme="minorHAnsi"/>
                <w:i/>
                <w:iCs/>
                <w:sz w:val="20"/>
                <w:szCs w:val="20"/>
              </w:rPr>
              <w:t>The letters of Sir William Jones.</w:t>
            </w:r>
            <w:r w:rsidRPr="004605DC">
              <w:rPr>
                <w:rFonts w:asciiTheme="minorHAnsi" w:hAnsiTheme="minorHAnsi" w:cstheme="minorHAnsi"/>
                <w:sz w:val="20"/>
                <w:szCs w:val="20"/>
              </w:rPr>
              <w:t xml:space="preserve"> Cannon, Garland H. (Επιμ.). Oxford: Clarendon Press. ISBN 0-19-812404-X.</w:t>
            </w:r>
          </w:p>
          <w:p w:rsidR="004605DC" w:rsidRPr="004605DC" w:rsidRDefault="004605DC" w:rsidP="004605DC">
            <w:pPr>
              <w:spacing w:line="360" w:lineRule="auto"/>
              <w:ind w:left="360" w:hanging="360"/>
              <w:rPr>
                <w:rFonts w:asciiTheme="minorHAnsi" w:hAnsiTheme="minorHAnsi" w:cstheme="minorHAnsi"/>
                <w:sz w:val="20"/>
                <w:szCs w:val="20"/>
              </w:rPr>
            </w:pPr>
            <w:r w:rsidRPr="004605DC">
              <w:rPr>
                <w:rFonts w:asciiTheme="minorHAnsi" w:hAnsiTheme="minorHAnsi" w:cstheme="minorHAnsi"/>
                <w:sz w:val="20"/>
                <w:szCs w:val="20"/>
                <w:shd w:val="clear" w:color="auto" w:fill="FFFFFF"/>
              </w:rPr>
              <w:t xml:space="preserve">Kaşgarlı, M. 11ος αιώνας. </w:t>
            </w:r>
            <w:r w:rsidRPr="004605DC">
              <w:rPr>
                <w:rFonts w:asciiTheme="minorHAnsi" w:hAnsiTheme="minorHAnsi" w:cstheme="minorHAnsi"/>
                <w:i/>
                <w:iCs/>
                <w:color w:val="000000"/>
                <w:sz w:val="20"/>
                <w:szCs w:val="20"/>
                <w:shd w:val="clear" w:color="auto" w:fill="FFFFFF"/>
              </w:rPr>
              <w:t>Divânü Lügati't-Türk</w:t>
            </w:r>
            <w:r w:rsidRPr="004605DC">
              <w:rPr>
                <w:rFonts w:asciiTheme="minorHAnsi" w:hAnsiTheme="minorHAnsi" w:cstheme="minorHAnsi"/>
                <w:color w:val="000000"/>
                <w:sz w:val="20"/>
                <w:szCs w:val="20"/>
                <w:shd w:val="clear" w:color="auto" w:fill="FFFFFF"/>
              </w:rPr>
              <w:t xml:space="preserve"> (Η σύνοψη των τουρκογενών γλωσσών). </w:t>
            </w:r>
          </w:p>
          <w:p w:rsidR="004605DC" w:rsidRPr="004605DC" w:rsidRDefault="004605DC" w:rsidP="004605DC">
            <w:pPr>
              <w:spacing w:line="360" w:lineRule="auto"/>
              <w:ind w:left="360" w:hanging="360"/>
              <w:rPr>
                <w:rFonts w:asciiTheme="minorHAnsi" w:hAnsiTheme="minorHAnsi" w:cstheme="minorHAnsi"/>
                <w:sz w:val="20"/>
                <w:szCs w:val="20"/>
                <w:lang w:val="el-GR"/>
              </w:rPr>
            </w:pPr>
            <w:r w:rsidRPr="004605DC">
              <w:rPr>
                <w:rFonts w:asciiTheme="minorHAnsi" w:hAnsiTheme="minorHAnsi" w:cstheme="minorHAnsi"/>
                <w:sz w:val="20"/>
                <w:szCs w:val="20"/>
              </w:rPr>
              <w:t xml:space="preserve">Kluge F. &amp; Ε. Seebold. 2002. </w:t>
            </w:r>
            <w:r w:rsidRPr="004605DC">
              <w:rPr>
                <w:rFonts w:asciiTheme="minorHAnsi" w:hAnsiTheme="minorHAnsi" w:cstheme="minorHAnsi"/>
                <w:i/>
                <w:iCs/>
                <w:sz w:val="20"/>
                <w:szCs w:val="20"/>
              </w:rPr>
              <w:t>Etymologisches Wörterbuch der deutschen Sprache</w:t>
            </w:r>
            <w:r w:rsidRPr="004605DC">
              <w:rPr>
                <w:rFonts w:asciiTheme="minorHAnsi" w:hAnsiTheme="minorHAnsi" w:cstheme="minorHAnsi"/>
                <w:sz w:val="20"/>
                <w:szCs w:val="20"/>
              </w:rPr>
              <w:t xml:space="preserve">. </w:t>
            </w:r>
            <w:r w:rsidRPr="004605DC">
              <w:rPr>
                <w:rFonts w:asciiTheme="minorHAnsi" w:hAnsiTheme="minorHAnsi" w:cstheme="minorHAnsi"/>
                <w:sz w:val="20"/>
                <w:szCs w:val="20"/>
                <w:lang w:val="el-GR"/>
              </w:rPr>
              <w:t>24</w:t>
            </w:r>
            <w:r w:rsidRPr="004605DC">
              <w:rPr>
                <w:rFonts w:asciiTheme="minorHAnsi" w:hAnsiTheme="minorHAnsi" w:cstheme="minorHAnsi"/>
                <w:sz w:val="20"/>
                <w:szCs w:val="20"/>
                <w:vertAlign w:val="superscript"/>
                <w:lang w:val="el-GR"/>
              </w:rPr>
              <w:t>η</w:t>
            </w:r>
            <w:r w:rsidRPr="004605DC">
              <w:rPr>
                <w:rFonts w:asciiTheme="minorHAnsi" w:hAnsiTheme="minorHAnsi" w:cstheme="minorHAnsi"/>
                <w:sz w:val="20"/>
                <w:szCs w:val="20"/>
                <w:lang w:val="el-GR"/>
              </w:rPr>
              <w:t xml:space="preserve"> έκδ</w:t>
            </w:r>
            <w:r w:rsidRPr="004605DC">
              <w:rPr>
                <w:rFonts w:asciiTheme="minorHAnsi" w:hAnsiTheme="minorHAnsi" w:cstheme="minorHAnsi"/>
                <w:sz w:val="20"/>
                <w:szCs w:val="20"/>
              </w:rPr>
              <w:t>o</w:t>
            </w:r>
            <w:r w:rsidRPr="004605DC">
              <w:rPr>
                <w:rFonts w:asciiTheme="minorHAnsi" w:hAnsiTheme="minorHAnsi" w:cstheme="minorHAnsi"/>
                <w:sz w:val="20"/>
                <w:szCs w:val="20"/>
                <w:lang w:val="el-GR"/>
              </w:rPr>
              <w:t xml:space="preserve">ση. </w:t>
            </w:r>
            <w:r w:rsidRPr="004605DC">
              <w:rPr>
                <w:rFonts w:asciiTheme="minorHAnsi" w:hAnsiTheme="minorHAnsi" w:cstheme="minorHAnsi"/>
                <w:sz w:val="20"/>
                <w:szCs w:val="20"/>
                <w:lang w:val="fr-FR"/>
              </w:rPr>
              <w:t>Berlin</w:t>
            </w:r>
            <w:r w:rsidRPr="004605DC">
              <w:rPr>
                <w:rFonts w:asciiTheme="minorHAnsi" w:hAnsiTheme="minorHAnsi" w:cstheme="minorHAnsi"/>
                <w:sz w:val="20"/>
                <w:szCs w:val="20"/>
                <w:lang w:val="el-GR"/>
              </w:rPr>
              <w:t xml:space="preserve">. </w:t>
            </w:r>
          </w:p>
          <w:p w:rsidR="004605DC" w:rsidRPr="0014586E" w:rsidRDefault="004605DC" w:rsidP="004605DC">
            <w:pPr>
              <w:spacing w:line="360" w:lineRule="auto"/>
              <w:ind w:left="360" w:hanging="360"/>
              <w:jc w:val="both"/>
              <w:rPr>
                <w:rFonts w:asciiTheme="minorHAnsi" w:hAnsiTheme="minorHAnsi" w:cstheme="minorHAnsi"/>
                <w:sz w:val="20"/>
                <w:szCs w:val="20"/>
                <w:lang w:val="fr-FR"/>
              </w:rPr>
            </w:pPr>
            <w:r w:rsidRPr="004605DC">
              <w:rPr>
                <w:rFonts w:asciiTheme="minorHAnsi" w:hAnsiTheme="minorHAnsi" w:cstheme="minorHAnsi"/>
                <w:sz w:val="20"/>
                <w:szCs w:val="20"/>
                <w:lang w:val="el-GR"/>
              </w:rPr>
              <w:t xml:space="preserve">Κοτζόγλου, Γ. 2009. </w:t>
            </w:r>
            <w:r w:rsidRPr="004605DC">
              <w:rPr>
                <w:rFonts w:asciiTheme="minorHAnsi" w:hAnsiTheme="minorHAnsi" w:cstheme="minorHAnsi"/>
                <w:i/>
                <w:sz w:val="20"/>
                <w:szCs w:val="20"/>
                <w:lang w:val="el-GR"/>
              </w:rPr>
              <w:t xml:space="preserve">Γλώσσες της ΝΑ Μεσογείου. </w:t>
            </w:r>
            <w:r w:rsidRPr="004605DC">
              <w:rPr>
                <w:rFonts w:asciiTheme="minorHAnsi" w:hAnsiTheme="minorHAnsi" w:cstheme="minorHAnsi"/>
                <w:sz w:val="20"/>
                <w:szCs w:val="20"/>
                <w:lang w:val="el-GR"/>
              </w:rPr>
              <w:t>Πανεπιστημιακές σημειώσεις. Πανεπιστήμιο</w:t>
            </w:r>
            <w:r w:rsidRPr="0014586E">
              <w:rPr>
                <w:rFonts w:asciiTheme="minorHAnsi" w:hAnsiTheme="minorHAnsi" w:cstheme="minorHAnsi"/>
                <w:sz w:val="20"/>
                <w:szCs w:val="20"/>
                <w:lang w:val="fr-FR"/>
              </w:rPr>
              <w:t xml:space="preserve"> </w:t>
            </w:r>
            <w:r w:rsidRPr="004605DC">
              <w:rPr>
                <w:rFonts w:asciiTheme="minorHAnsi" w:hAnsiTheme="minorHAnsi" w:cstheme="minorHAnsi"/>
                <w:sz w:val="20"/>
                <w:szCs w:val="20"/>
                <w:lang w:val="el-GR"/>
              </w:rPr>
              <w:t>Αιγαίου</w:t>
            </w:r>
            <w:r w:rsidRPr="0014586E">
              <w:rPr>
                <w:rFonts w:asciiTheme="minorHAnsi" w:hAnsiTheme="minorHAnsi" w:cstheme="minorHAnsi"/>
                <w:sz w:val="20"/>
                <w:szCs w:val="20"/>
                <w:lang w:val="fr-FR"/>
              </w:rPr>
              <w:t xml:space="preserve">. </w:t>
            </w:r>
          </w:p>
          <w:p w:rsidR="004605DC" w:rsidRPr="004605DC" w:rsidRDefault="004605DC" w:rsidP="004605DC">
            <w:pPr>
              <w:spacing w:line="360" w:lineRule="auto"/>
              <w:ind w:left="360" w:hanging="360"/>
              <w:rPr>
                <w:rFonts w:asciiTheme="minorHAnsi" w:hAnsiTheme="minorHAnsi" w:cstheme="minorHAnsi"/>
                <w:sz w:val="20"/>
                <w:szCs w:val="20"/>
              </w:rPr>
            </w:pPr>
            <w:r w:rsidRPr="004605DC">
              <w:rPr>
                <w:rFonts w:asciiTheme="minorHAnsi" w:hAnsiTheme="minorHAnsi" w:cstheme="minorHAnsi"/>
                <w:sz w:val="20"/>
                <w:szCs w:val="20"/>
                <w:lang w:val="fr-FR"/>
              </w:rPr>
              <w:t>Marcq</w:t>
            </w:r>
            <w:r w:rsidRPr="0014586E">
              <w:rPr>
                <w:rFonts w:asciiTheme="minorHAnsi" w:hAnsiTheme="minorHAnsi" w:cstheme="minorHAnsi"/>
                <w:sz w:val="20"/>
                <w:szCs w:val="20"/>
                <w:lang w:val="fr-FR"/>
              </w:rPr>
              <w:t xml:space="preserve"> </w:t>
            </w:r>
            <w:r w:rsidRPr="004605DC">
              <w:rPr>
                <w:rFonts w:asciiTheme="minorHAnsi" w:hAnsiTheme="minorHAnsi" w:cstheme="minorHAnsi"/>
                <w:sz w:val="20"/>
                <w:szCs w:val="20"/>
                <w:lang w:val="fr-FR"/>
              </w:rPr>
              <w:t>Ph</w:t>
            </w:r>
            <w:r w:rsidRPr="0014586E">
              <w:rPr>
                <w:rFonts w:asciiTheme="minorHAnsi" w:hAnsiTheme="minorHAnsi" w:cstheme="minorHAnsi"/>
                <w:sz w:val="20"/>
                <w:szCs w:val="20"/>
                <w:lang w:val="fr-FR"/>
              </w:rPr>
              <w:t xml:space="preserve">. </w:t>
            </w:r>
            <w:r w:rsidRPr="004605DC">
              <w:rPr>
                <w:rFonts w:asciiTheme="minorHAnsi" w:hAnsiTheme="minorHAnsi" w:cstheme="minorHAnsi"/>
                <w:sz w:val="20"/>
                <w:szCs w:val="20"/>
                <w:lang w:val="fr-FR"/>
              </w:rPr>
              <w:t xml:space="preserve">&amp; Th. Robin, 1997. </w:t>
            </w:r>
            <w:r w:rsidRPr="004605DC">
              <w:rPr>
                <w:rFonts w:asciiTheme="minorHAnsi" w:hAnsiTheme="minorHAnsi" w:cstheme="minorHAnsi"/>
                <w:i/>
                <w:iCs/>
                <w:sz w:val="20"/>
                <w:szCs w:val="20"/>
                <w:lang w:val="fr-FR"/>
              </w:rPr>
              <w:t>Linguistique historique de l’allemand.</w:t>
            </w:r>
            <w:r w:rsidRPr="004605DC">
              <w:rPr>
                <w:rFonts w:asciiTheme="minorHAnsi" w:hAnsiTheme="minorHAnsi" w:cstheme="minorHAnsi"/>
                <w:sz w:val="20"/>
                <w:szCs w:val="20"/>
                <w:lang w:val="fr-FR"/>
              </w:rPr>
              <w:t xml:space="preserve"> </w:t>
            </w:r>
            <w:r w:rsidRPr="004605DC">
              <w:rPr>
                <w:rFonts w:asciiTheme="minorHAnsi" w:hAnsiTheme="minorHAnsi" w:cstheme="minorHAnsi"/>
                <w:sz w:val="20"/>
                <w:szCs w:val="20"/>
              </w:rPr>
              <w:t xml:space="preserve">Paris. </w:t>
            </w:r>
          </w:p>
          <w:p w:rsidR="004605DC" w:rsidRPr="004605DC" w:rsidRDefault="004605DC" w:rsidP="004605DC">
            <w:pPr>
              <w:autoSpaceDE w:val="0"/>
              <w:autoSpaceDN w:val="0"/>
              <w:adjustRightInd w:val="0"/>
              <w:spacing w:line="360" w:lineRule="auto"/>
              <w:ind w:left="360" w:hanging="360"/>
              <w:rPr>
                <w:rFonts w:asciiTheme="minorHAnsi" w:hAnsiTheme="minorHAnsi" w:cstheme="minorHAnsi"/>
                <w:sz w:val="20"/>
                <w:szCs w:val="20"/>
                <w:lang w:val="fr-FR"/>
              </w:rPr>
            </w:pPr>
            <w:r w:rsidRPr="004605DC">
              <w:rPr>
                <w:rFonts w:asciiTheme="minorHAnsi" w:hAnsiTheme="minorHAnsi" w:cstheme="minorHAnsi"/>
                <w:sz w:val="20"/>
                <w:szCs w:val="20"/>
              </w:rPr>
              <w:t xml:space="preserve">McCarthy, J. J. 1982. Prosodic templates, morphemic templates, and morphemic tiers. H. V. der Hulst, &amp; N. Smith (επιμ.), </w:t>
            </w:r>
            <w:r w:rsidRPr="004605DC">
              <w:rPr>
                <w:rFonts w:asciiTheme="minorHAnsi" w:hAnsiTheme="minorHAnsi" w:cstheme="minorHAnsi"/>
                <w:i/>
                <w:sz w:val="20"/>
                <w:szCs w:val="20"/>
              </w:rPr>
              <w:t>The structure of phonological representations</w:t>
            </w:r>
            <w:r w:rsidRPr="004605DC">
              <w:rPr>
                <w:rFonts w:asciiTheme="minorHAnsi" w:hAnsiTheme="minorHAnsi" w:cstheme="minorHAnsi"/>
                <w:sz w:val="20"/>
                <w:szCs w:val="20"/>
              </w:rPr>
              <w:t xml:space="preserve">, 191–223. </w:t>
            </w:r>
            <w:r w:rsidRPr="004605DC">
              <w:rPr>
                <w:rFonts w:asciiTheme="minorHAnsi" w:hAnsiTheme="minorHAnsi" w:cstheme="minorHAnsi"/>
                <w:sz w:val="20"/>
                <w:szCs w:val="20"/>
                <w:lang w:val="fr-FR"/>
              </w:rPr>
              <w:t>Dordrecht: Foris.</w:t>
            </w:r>
          </w:p>
          <w:p w:rsidR="004605DC" w:rsidRPr="004605DC" w:rsidRDefault="004605DC" w:rsidP="004605DC">
            <w:pPr>
              <w:spacing w:line="360" w:lineRule="auto"/>
              <w:ind w:left="360" w:hanging="360"/>
              <w:jc w:val="both"/>
              <w:rPr>
                <w:rFonts w:asciiTheme="minorHAnsi" w:hAnsiTheme="minorHAnsi" w:cstheme="minorHAnsi"/>
                <w:sz w:val="20"/>
                <w:szCs w:val="20"/>
              </w:rPr>
            </w:pPr>
            <w:r w:rsidRPr="004605DC">
              <w:rPr>
                <w:rFonts w:asciiTheme="minorHAnsi" w:hAnsiTheme="minorHAnsi" w:cstheme="minorHAnsi"/>
                <w:sz w:val="20"/>
                <w:szCs w:val="20"/>
                <w:lang w:val="fr-FR"/>
              </w:rPr>
              <w:t xml:space="preserve">Meillet A., 1937. </w:t>
            </w:r>
            <w:r w:rsidRPr="004605DC">
              <w:rPr>
                <w:rFonts w:asciiTheme="minorHAnsi" w:hAnsiTheme="minorHAnsi" w:cstheme="minorHAnsi"/>
                <w:i/>
                <w:iCs/>
                <w:sz w:val="20"/>
                <w:szCs w:val="20"/>
                <w:lang w:val="fr-FR"/>
              </w:rPr>
              <w:t>Introduction à l’étude comparative des langues indoeuropéennes</w:t>
            </w:r>
            <w:r w:rsidRPr="004605DC">
              <w:rPr>
                <w:rFonts w:asciiTheme="minorHAnsi" w:hAnsiTheme="minorHAnsi" w:cstheme="minorHAnsi"/>
                <w:sz w:val="20"/>
                <w:szCs w:val="20"/>
                <w:lang w:val="fr-FR"/>
              </w:rPr>
              <w:t xml:space="preserve">. </w:t>
            </w:r>
            <w:r w:rsidRPr="004605DC">
              <w:rPr>
                <w:rFonts w:asciiTheme="minorHAnsi" w:hAnsiTheme="minorHAnsi" w:cstheme="minorHAnsi"/>
                <w:sz w:val="20"/>
                <w:szCs w:val="20"/>
              </w:rPr>
              <w:t>8</w:t>
            </w:r>
            <w:r w:rsidRPr="004605DC">
              <w:rPr>
                <w:rFonts w:asciiTheme="minorHAnsi" w:hAnsiTheme="minorHAnsi" w:cstheme="minorHAnsi"/>
                <w:sz w:val="20"/>
                <w:szCs w:val="20"/>
                <w:vertAlign w:val="superscript"/>
              </w:rPr>
              <w:t>η</w:t>
            </w:r>
            <w:r w:rsidRPr="004605DC">
              <w:rPr>
                <w:rFonts w:asciiTheme="minorHAnsi" w:hAnsiTheme="minorHAnsi" w:cstheme="minorHAnsi"/>
                <w:sz w:val="20"/>
                <w:szCs w:val="20"/>
              </w:rPr>
              <w:t xml:space="preserve"> έκδοση. Paris. </w:t>
            </w:r>
          </w:p>
          <w:p w:rsidR="004605DC" w:rsidRPr="004605DC" w:rsidRDefault="004605DC" w:rsidP="004605DC">
            <w:pPr>
              <w:spacing w:line="360" w:lineRule="auto"/>
              <w:ind w:left="360" w:hanging="360"/>
              <w:rPr>
                <w:rFonts w:asciiTheme="minorHAnsi" w:hAnsiTheme="minorHAnsi" w:cstheme="minorHAnsi"/>
                <w:sz w:val="20"/>
                <w:szCs w:val="20"/>
              </w:rPr>
            </w:pPr>
            <w:r w:rsidRPr="004605DC">
              <w:rPr>
                <w:rFonts w:asciiTheme="minorHAnsi" w:hAnsiTheme="minorHAnsi" w:cstheme="minorHAnsi"/>
                <w:sz w:val="20"/>
                <w:szCs w:val="20"/>
              </w:rPr>
              <w:t xml:space="preserve">Meyer. H. 1901. «Über den Ursprung der germanischen Lautverschiebung». Στο </w:t>
            </w:r>
            <w:r w:rsidRPr="004605DC">
              <w:rPr>
                <w:rFonts w:asciiTheme="minorHAnsi" w:hAnsiTheme="minorHAnsi" w:cstheme="minorHAnsi"/>
                <w:i/>
                <w:iCs/>
                <w:sz w:val="20"/>
                <w:szCs w:val="20"/>
              </w:rPr>
              <w:t>Zeitschrift für deutsches Altertum und deutsches Literatur</w:t>
            </w:r>
            <w:r w:rsidRPr="004605DC">
              <w:rPr>
                <w:rFonts w:asciiTheme="minorHAnsi" w:hAnsiTheme="minorHAnsi" w:cstheme="minorHAnsi"/>
                <w:sz w:val="20"/>
                <w:szCs w:val="20"/>
              </w:rPr>
              <w:t xml:space="preserve"> 45, 101-28. </w:t>
            </w:r>
          </w:p>
          <w:p w:rsidR="004605DC" w:rsidRPr="004605DC" w:rsidRDefault="004605DC" w:rsidP="004605DC">
            <w:pPr>
              <w:spacing w:line="360" w:lineRule="auto"/>
              <w:ind w:left="360" w:hanging="360"/>
              <w:rPr>
                <w:rFonts w:asciiTheme="minorHAnsi" w:hAnsiTheme="minorHAnsi" w:cstheme="minorHAnsi"/>
                <w:sz w:val="20"/>
                <w:szCs w:val="20"/>
              </w:rPr>
            </w:pPr>
            <w:r w:rsidRPr="004605DC">
              <w:rPr>
                <w:rFonts w:asciiTheme="minorHAnsi" w:hAnsiTheme="minorHAnsi" w:cstheme="minorHAnsi"/>
                <w:sz w:val="20"/>
                <w:szCs w:val="20"/>
              </w:rPr>
              <w:lastRenderedPageBreak/>
              <w:t xml:space="preserve">Pfeifer W. et al. 1993. </w:t>
            </w:r>
            <w:r w:rsidRPr="004605DC">
              <w:rPr>
                <w:rFonts w:asciiTheme="minorHAnsi" w:hAnsiTheme="minorHAnsi" w:cstheme="minorHAnsi"/>
                <w:i/>
                <w:iCs/>
                <w:sz w:val="20"/>
                <w:szCs w:val="20"/>
              </w:rPr>
              <w:t>Etymologisches Wörterbuch des Deutschen</w:t>
            </w:r>
            <w:r w:rsidRPr="004605DC">
              <w:rPr>
                <w:rFonts w:asciiTheme="minorHAnsi" w:hAnsiTheme="minorHAnsi" w:cstheme="minorHAnsi"/>
                <w:sz w:val="20"/>
                <w:szCs w:val="20"/>
              </w:rPr>
              <w:t>. 2</w:t>
            </w:r>
            <w:r w:rsidRPr="004605DC">
              <w:rPr>
                <w:rFonts w:asciiTheme="minorHAnsi" w:hAnsiTheme="minorHAnsi" w:cstheme="minorHAnsi"/>
                <w:sz w:val="20"/>
                <w:szCs w:val="20"/>
                <w:vertAlign w:val="superscript"/>
              </w:rPr>
              <w:t>η</w:t>
            </w:r>
            <w:r w:rsidRPr="004605DC">
              <w:rPr>
                <w:rFonts w:asciiTheme="minorHAnsi" w:hAnsiTheme="minorHAnsi" w:cstheme="minorHAnsi"/>
                <w:sz w:val="20"/>
                <w:szCs w:val="20"/>
              </w:rPr>
              <w:t xml:space="preserve"> έκδοση. Berlin. </w:t>
            </w:r>
          </w:p>
          <w:p w:rsidR="004605DC" w:rsidRPr="004605DC" w:rsidRDefault="004605DC" w:rsidP="004605DC">
            <w:pPr>
              <w:spacing w:line="360" w:lineRule="auto"/>
              <w:ind w:left="360" w:hanging="360"/>
              <w:rPr>
                <w:rFonts w:asciiTheme="minorHAnsi" w:hAnsiTheme="minorHAnsi" w:cstheme="minorHAnsi"/>
                <w:sz w:val="20"/>
                <w:szCs w:val="20"/>
              </w:rPr>
            </w:pPr>
            <w:r w:rsidRPr="004605DC">
              <w:rPr>
                <w:rFonts w:asciiTheme="minorHAnsi" w:hAnsiTheme="minorHAnsi" w:cstheme="minorHAnsi"/>
                <w:sz w:val="20"/>
                <w:szCs w:val="20"/>
              </w:rPr>
              <w:t xml:space="preserve">Ramat P. 1981. </w:t>
            </w:r>
            <w:r w:rsidRPr="004605DC">
              <w:rPr>
                <w:rFonts w:asciiTheme="minorHAnsi" w:hAnsiTheme="minorHAnsi" w:cstheme="minorHAnsi"/>
                <w:i/>
                <w:iCs/>
                <w:sz w:val="20"/>
                <w:szCs w:val="20"/>
              </w:rPr>
              <w:t>Einführung in das Germanische.</w:t>
            </w:r>
            <w:r w:rsidRPr="004605DC">
              <w:rPr>
                <w:rFonts w:asciiTheme="minorHAnsi" w:hAnsiTheme="minorHAnsi" w:cstheme="minorHAnsi"/>
                <w:sz w:val="20"/>
                <w:szCs w:val="20"/>
              </w:rPr>
              <w:t xml:space="preserve"> Tübingen. </w:t>
            </w:r>
          </w:p>
          <w:p w:rsidR="004605DC" w:rsidRPr="004605DC" w:rsidRDefault="004605DC" w:rsidP="004605DC">
            <w:pPr>
              <w:spacing w:line="360" w:lineRule="auto"/>
              <w:ind w:left="360" w:hanging="360"/>
              <w:rPr>
                <w:rFonts w:asciiTheme="minorHAnsi" w:hAnsiTheme="minorHAnsi" w:cstheme="minorHAnsi"/>
                <w:sz w:val="20"/>
                <w:szCs w:val="20"/>
              </w:rPr>
            </w:pPr>
            <w:r w:rsidRPr="004605DC">
              <w:rPr>
                <w:rFonts w:asciiTheme="minorHAnsi" w:hAnsiTheme="minorHAnsi" w:cstheme="minorHAnsi"/>
                <w:sz w:val="20"/>
                <w:szCs w:val="20"/>
              </w:rPr>
              <w:t xml:space="preserve">Samoilovich, A. N. 1922. </w:t>
            </w:r>
            <w:r w:rsidRPr="004605DC">
              <w:rPr>
                <w:rFonts w:asciiTheme="minorHAnsi" w:hAnsiTheme="minorHAnsi" w:cstheme="minorHAnsi"/>
                <w:i/>
                <w:iCs/>
                <w:sz w:val="20"/>
                <w:szCs w:val="20"/>
              </w:rPr>
              <w:t>Some additions to the classification of the Turkish languages</w:t>
            </w:r>
            <w:r w:rsidRPr="004605DC">
              <w:rPr>
                <w:rFonts w:asciiTheme="minorHAnsi" w:hAnsiTheme="minorHAnsi" w:cstheme="minorHAnsi"/>
                <w:sz w:val="20"/>
                <w:szCs w:val="20"/>
              </w:rPr>
              <w:t xml:space="preserve">. Petrograd. </w:t>
            </w:r>
          </w:p>
          <w:p w:rsidR="004605DC" w:rsidRPr="004605DC" w:rsidRDefault="004605DC" w:rsidP="004605DC">
            <w:pPr>
              <w:spacing w:line="360" w:lineRule="auto"/>
              <w:ind w:left="360" w:hanging="360"/>
              <w:rPr>
                <w:rFonts w:asciiTheme="minorHAnsi" w:hAnsiTheme="minorHAnsi" w:cstheme="minorHAnsi"/>
                <w:sz w:val="20"/>
                <w:szCs w:val="20"/>
              </w:rPr>
            </w:pPr>
            <w:r w:rsidRPr="004605DC">
              <w:rPr>
                <w:rFonts w:asciiTheme="minorHAnsi" w:hAnsiTheme="minorHAnsi" w:cstheme="minorHAnsi"/>
                <w:sz w:val="20"/>
                <w:szCs w:val="20"/>
              </w:rPr>
              <w:t xml:space="preserve">Schwerdt, J. 2000. </w:t>
            </w:r>
            <w:r w:rsidRPr="004605DC">
              <w:rPr>
                <w:rFonts w:asciiTheme="minorHAnsi" w:hAnsiTheme="minorHAnsi" w:cstheme="minorHAnsi"/>
                <w:i/>
                <w:iCs/>
                <w:sz w:val="20"/>
                <w:szCs w:val="20"/>
              </w:rPr>
              <w:t>Die zweite Lautverschiebung: Wege zu ihrer Erforschung.</w:t>
            </w:r>
            <w:r w:rsidRPr="004605DC">
              <w:rPr>
                <w:rFonts w:asciiTheme="minorHAnsi" w:hAnsiTheme="minorHAnsi" w:cstheme="minorHAnsi"/>
                <w:sz w:val="20"/>
                <w:szCs w:val="20"/>
              </w:rPr>
              <w:t xml:space="preserve"> Heidelberg. </w:t>
            </w:r>
          </w:p>
          <w:p w:rsidR="004605DC" w:rsidRPr="004605DC" w:rsidRDefault="004605DC" w:rsidP="004605DC">
            <w:pPr>
              <w:spacing w:line="360" w:lineRule="auto"/>
              <w:ind w:left="360" w:hanging="360"/>
              <w:jc w:val="both"/>
              <w:rPr>
                <w:rFonts w:asciiTheme="minorHAnsi" w:hAnsiTheme="minorHAnsi" w:cstheme="minorHAnsi"/>
                <w:sz w:val="20"/>
                <w:szCs w:val="20"/>
              </w:rPr>
            </w:pPr>
            <w:r w:rsidRPr="004605DC">
              <w:rPr>
                <w:rFonts w:asciiTheme="minorHAnsi" w:hAnsiTheme="minorHAnsi" w:cstheme="minorHAnsi"/>
                <w:sz w:val="20"/>
                <w:szCs w:val="20"/>
              </w:rPr>
              <w:t xml:space="preserve">Szemerényi, O. 1996. </w:t>
            </w:r>
            <w:r w:rsidRPr="004605DC">
              <w:rPr>
                <w:rFonts w:asciiTheme="minorHAnsi" w:hAnsiTheme="minorHAnsi" w:cstheme="minorHAnsi"/>
                <w:i/>
                <w:iCs/>
                <w:sz w:val="20"/>
                <w:szCs w:val="20"/>
              </w:rPr>
              <w:t>An Introduction to Indo-European Linguistics</w:t>
            </w:r>
            <w:r w:rsidRPr="004605DC">
              <w:rPr>
                <w:rFonts w:asciiTheme="minorHAnsi" w:hAnsiTheme="minorHAnsi" w:cstheme="minorHAnsi"/>
                <w:sz w:val="20"/>
                <w:szCs w:val="20"/>
              </w:rPr>
              <w:t xml:space="preserve">. Oxford. </w:t>
            </w:r>
          </w:p>
          <w:p w:rsidR="004605DC" w:rsidRPr="004605DC" w:rsidRDefault="004605DC" w:rsidP="004605DC">
            <w:pPr>
              <w:spacing w:line="360" w:lineRule="auto"/>
              <w:ind w:left="360" w:hanging="360"/>
              <w:jc w:val="both"/>
              <w:rPr>
                <w:rFonts w:asciiTheme="minorHAnsi" w:hAnsiTheme="minorHAnsi" w:cstheme="minorHAnsi"/>
                <w:sz w:val="20"/>
                <w:szCs w:val="20"/>
              </w:rPr>
            </w:pPr>
            <w:r w:rsidRPr="004605DC">
              <w:rPr>
                <w:rFonts w:asciiTheme="minorHAnsi" w:hAnsiTheme="minorHAnsi" w:cstheme="minorHAnsi"/>
                <w:sz w:val="20"/>
                <w:szCs w:val="20"/>
              </w:rPr>
              <w:t xml:space="preserve">Tucker, M. A. 2010. The morphosyntax of the Arabic verb: toward a unified syntax-prosody. Ms. University of California, Santa Cruz. </w:t>
            </w:r>
          </w:p>
          <w:p w:rsidR="000F4FD4" w:rsidRPr="00BF4EFB" w:rsidRDefault="004605DC" w:rsidP="004605DC">
            <w:pPr>
              <w:spacing w:line="360" w:lineRule="auto"/>
              <w:ind w:left="360" w:hanging="360"/>
              <w:jc w:val="both"/>
              <w:rPr>
                <w:rFonts w:ascii="Calibri" w:hAnsi="Calibri" w:cs="Arial"/>
                <w:b/>
                <w:sz w:val="20"/>
                <w:szCs w:val="20"/>
              </w:rPr>
            </w:pPr>
            <w:r w:rsidRPr="004605DC">
              <w:rPr>
                <w:rFonts w:asciiTheme="minorHAnsi" w:hAnsiTheme="minorHAnsi" w:cstheme="minorHAnsi"/>
                <w:sz w:val="20"/>
                <w:szCs w:val="20"/>
              </w:rPr>
              <w:t xml:space="preserve">Waterman J.C. 1976. </w:t>
            </w:r>
            <w:r w:rsidRPr="004605DC">
              <w:rPr>
                <w:rFonts w:asciiTheme="minorHAnsi" w:hAnsiTheme="minorHAnsi" w:cstheme="minorHAnsi"/>
                <w:i/>
                <w:iCs/>
                <w:sz w:val="20"/>
                <w:szCs w:val="20"/>
              </w:rPr>
              <w:t>A History of the German Language</w:t>
            </w:r>
            <w:r w:rsidRPr="004605DC">
              <w:rPr>
                <w:rFonts w:asciiTheme="minorHAnsi" w:hAnsiTheme="minorHAnsi" w:cstheme="minorHAnsi"/>
                <w:sz w:val="20"/>
                <w:szCs w:val="20"/>
              </w:rPr>
              <w:t>. Washington.</w:t>
            </w:r>
          </w:p>
        </w:tc>
      </w:tr>
    </w:tbl>
    <w:p w:rsidR="000F4FD4" w:rsidRPr="00BF4EFB" w:rsidRDefault="000F4FD4" w:rsidP="000F4FD4">
      <w:pPr>
        <w:widowControl w:val="0"/>
        <w:autoSpaceDE w:val="0"/>
        <w:autoSpaceDN w:val="0"/>
        <w:adjustRightInd w:val="0"/>
        <w:spacing w:before="240" w:after="200" w:line="276" w:lineRule="auto"/>
        <w:rPr>
          <w:rFonts w:ascii="Calibri" w:hAnsi="Calibri" w:cs="Arial"/>
          <w:b/>
          <w:color w:val="000000"/>
          <w:sz w:val="20"/>
          <w:szCs w:val="20"/>
        </w:rPr>
      </w:pPr>
    </w:p>
    <w:bookmarkEnd w:id="0"/>
    <w:p w:rsidR="000F4FD4" w:rsidRPr="00BF4EFB" w:rsidRDefault="000F4FD4" w:rsidP="000F4FD4">
      <w:pPr>
        <w:rPr>
          <w:rFonts w:ascii="Cambria" w:hAnsi="Cambria"/>
          <w:b/>
          <w:bCs/>
          <w:sz w:val="20"/>
          <w:szCs w:val="20"/>
        </w:rPr>
      </w:pPr>
    </w:p>
    <w:sectPr w:rsidR="000F4FD4" w:rsidRPr="00BF4EFB"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0FE" w:rsidRDefault="00CC30FE">
      <w:r>
        <w:separator/>
      </w:r>
    </w:p>
  </w:endnote>
  <w:endnote w:type="continuationSeparator" w:id="0">
    <w:p w:rsidR="00CC30FE" w:rsidRDefault="00CC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0FE" w:rsidRDefault="00CC30FE">
      <w:r>
        <w:separator/>
      </w:r>
    </w:p>
  </w:footnote>
  <w:footnote w:type="continuationSeparator" w:id="0">
    <w:p w:rsidR="00CC30FE" w:rsidRDefault="00CC3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85pt;height:8.8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978A9"/>
    <w:multiLevelType w:val="hybridMultilevel"/>
    <w:tmpl w:val="77461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1F3570"/>
    <w:multiLevelType w:val="hybridMultilevel"/>
    <w:tmpl w:val="923A41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BB840BD"/>
    <w:multiLevelType w:val="hybridMultilevel"/>
    <w:tmpl w:val="F404DD3C"/>
    <w:lvl w:ilvl="0" w:tplc="645808E2">
      <w:numFmt w:val="bullet"/>
      <w:lvlText w:val="-"/>
      <w:lvlJc w:val="left"/>
      <w:pPr>
        <w:tabs>
          <w:tab w:val="num" w:pos="720"/>
        </w:tabs>
        <w:ind w:left="720" w:hanging="360"/>
      </w:pPr>
      <w:rPr>
        <w:rFonts w:ascii="Georgia" w:eastAsia="Times New Roman" w:hAnsi="Georgi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6"/>
  </w:num>
  <w:num w:numId="4">
    <w:abstractNumId w:val="3"/>
  </w:num>
  <w:num w:numId="5">
    <w:abstractNumId w:val="5"/>
  </w:num>
  <w:num w:numId="6">
    <w:abstractNumId w:val="43"/>
  </w:num>
  <w:num w:numId="7">
    <w:abstractNumId w:val="18"/>
  </w:num>
  <w:num w:numId="8">
    <w:abstractNumId w:val="9"/>
  </w:num>
  <w:num w:numId="9">
    <w:abstractNumId w:val="36"/>
  </w:num>
  <w:num w:numId="10">
    <w:abstractNumId w:val="44"/>
  </w:num>
  <w:num w:numId="11">
    <w:abstractNumId w:val="19"/>
  </w:num>
  <w:num w:numId="12">
    <w:abstractNumId w:val="25"/>
  </w:num>
  <w:num w:numId="13">
    <w:abstractNumId w:val="9"/>
  </w:num>
  <w:num w:numId="14">
    <w:abstractNumId w:val="15"/>
  </w:num>
  <w:num w:numId="15">
    <w:abstractNumId w:val="39"/>
  </w:num>
  <w:num w:numId="16">
    <w:abstractNumId w:val="36"/>
  </w:num>
  <w:num w:numId="17">
    <w:abstractNumId w:val="13"/>
  </w:num>
  <w:num w:numId="18">
    <w:abstractNumId w:val="26"/>
  </w:num>
  <w:num w:numId="19">
    <w:abstractNumId w:val="0"/>
  </w:num>
  <w:num w:numId="20">
    <w:abstractNumId w:val="16"/>
  </w:num>
  <w:num w:numId="21">
    <w:abstractNumId w:val="7"/>
  </w:num>
  <w:num w:numId="22">
    <w:abstractNumId w:val="32"/>
  </w:num>
  <w:num w:numId="23">
    <w:abstractNumId w:val="12"/>
  </w:num>
  <w:num w:numId="24">
    <w:abstractNumId w:val="21"/>
  </w:num>
  <w:num w:numId="25">
    <w:abstractNumId w:val="1"/>
  </w:num>
  <w:num w:numId="26">
    <w:abstractNumId w:val="45"/>
  </w:num>
  <w:num w:numId="27">
    <w:abstractNumId w:val="35"/>
  </w:num>
  <w:num w:numId="28">
    <w:abstractNumId w:val="8"/>
  </w:num>
  <w:num w:numId="29">
    <w:abstractNumId w:val="27"/>
  </w:num>
  <w:num w:numId="30">
    <w:abstractNumId w:val="41"/>
  </w:num>
  <w:num w:numId="31">
    <w:abstractNumId w:val="10"/>
  </w:num>
  <w:num w:numId="32">
    <w:abstractNumId w:val="30"/>
  </w:num>
  <w:num w:numId="33">
    <w:abstractNumId w:val="23"/>
  </w:num>
  <w:num w:numId="34">
    <w:abstractNumId w:val="40"/>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2"/>
  </w:num>
  <w:num w:numId="38">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3"/>
  </w:num>
  <w:num w:numId="41">
    <w:abstractNumId w:val="17"/>
  </w:num>
  <w:num w:numId="42">
    <w:abstractNumId w:val="29"/>
  </w:num>
  <w:num w:numId="43">
    <w:abstractNumId w:val="31"/>
  </w:num>
  <w:num w:numId="44">
    <w:abstractNumId w:val="38"/>
  </w:num>
  <w:num w:numId="45">
    <w:abstractNumId w:val="4"/>
  </w:num>
  <w:num w:numId="46">
    <w:abstractNumId w:val="24"/>
  </w:num>
  <w:num w:numId="47">
    <w:abstractNumId w:val="20"/>
  </w:num>
  <w:num w:numId="4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08D1"/>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374A"/>
    <w:rsid w:val="00124681"/>
    <w:rsid w:val="00131063"/>
    <w:rsid w:val="00132DAE"/>
    <w:rsid w:val="001347BE"/>
    <w:rsid w:val="00134951"/>
    <w:rsid w:val="00134B1A"/>
    <w:rsid w:val="0013660E"/>
    <w:rsid w:val="00136E4A"/>
    <w:rsid w:val="001371FD"/>
    <w:rsid w:val="0014237E"/>
    <w:rsid w:val="00144568"/>
    <w:rsid w:val="0014586E"/>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15E8"/>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162B8"/>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510E"/>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5DC"/>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08B"/>
    <w:rsid w:val="00606296"/>
    <w:rsid w:val="00606935"/>
    <w:rsid w:val="00607285"/>
    <w:rsid w:val="00607F29"/>
    <w:rsid w:val="00610CFE"/>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08B"/>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4D74"/>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203D"/>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4EFB"/>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44FA"/>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B41"/>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0F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DF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5863"/>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5728B"/>
    <w:rsid w:val="00E60743"/>
    <w:rsid w:val="00E60995"/>
    <w:rsid w:val="00E60DB0"/>
    <w:rsid w:val="00E61A84"/>
    <w:rsid w:val="00E6237E"/>
    <w:rsid w:val="00E62EE4"/>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NormalWeb">
    <w:name w:val="Normal (Web)"/>
    <w:basedOn w:val="Normal"/>
    <w:unhideWhenUsed/>
    <w:locked/>
    <w:rsid w:val="004605DC"/>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8085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1329</Words>
  <Characters>7177</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Evangelia Vlachou</cp:lastModifiedBy>
  <cp:revision>14</cp:revision>
  <cp:lastPrinted>2014-04-24T14:33:00Z</cp:lastPrinted>
  <dcterms:created xsi:type="dcterms:W3CDTF">2017-03-09T12:12:00Z</dcterms:created>
  <dcterms:modified xsi:type="dcterms:W3CDTF">2017-05-30T08:18:00Z</dcterms:modified>
</cp:coreProperties>
</file>