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55" w:type="dxa"/>
            <w:gridSpan w:val="5"/>
          </w:tcPr>
          <w:p w:rsidR="00CC1EC5" w:rsidRPr="007314D7" w:rsidRDefault="007314D7" w:rsidP="00E30CBA">
            <w:pPr>
              <w:rPr>
                <w:rFonts w:asciiTheme="minorHAnsi" w:hAnsiTheme="minorHAnsi" w:cstheme="minorHAnsi"/>
                <w:sz w:val="20"/>
                <w:szCs w:val="20"/>
              </w:rPr>
            </w:pPr>
            <w:r>
              <w:rPr>
                <w:rFonts w:asciiTheme="minorHAnsi" w:hAnsiTheme="minorHAnsi" w:cstheme="minorHAnsi"/>
                <w:sz w:val="20"/>
                <w:szCs w:val="20"/>
              </w:rPr>
              <w:t>HUMANITIES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DEPARTMENT OF MEDITERRANEAN STUDIES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UNDERGRADUATE</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13" w:type="dxa"/>
          </w:tcPr>
          <w:p w:rsidR="00CC1EC5" w:rsidRPr="002E39CB" w:rsidRDefault="002E39CB" w:rsidP="002E39CB">
            <w:pPr>
              <w:rPr>
                <w:rFonts w:ascii="Calibri" w:hAnsi="Calibri" w:cs="Calibri"/>
                <w:sz w:val="20"/>
                <w:szCs w:val="20"/>
                <w:lang w:val="el-GR"/>
              </w:rPr>
            </w:pPr>
            <w:r w:rsidRPr="002E39CB">
              <w:rPr>
                <w:rFonts w:ascii="Calibri" w:hAnsi="Calibri" w:cs="Calibri"/>
                <w:sz w:val="20"/>
                <w:szCs w:val="20"/>
              </w:rPr>
              <w:t>ΓΥΕ-26</w:t>
            </w:r>
          </w:p>
        </w:tc>
        <w:tc>
          <w:tcPr>
            <w:tcW w:w="2471"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1" w:type="dxa"/>
            <w:gridSpan w:val="2"/>
          </w:tcPr>
          <w:p w:rsidR="00CC1EC5" w:rsidRPr="006403CB" w:rsidRDefault="007314D7" w:rsidP="00E30CBA">
            <w:pPr>
              <w:rPr>
                <w:rFonts w:asciiTheme="majorHAnsi" w:hAnsiTheme="majorHAnsi" w:cs="Arial"/>
                <w:b/>
                <w:sz w:val="20"/>
                <w:szCs w:val="20"/>
                <w:lang w:val="en-GB"/>
              </w:rPr>
            </w:pPr>
            <w:r>
              <w:rPr>
                <w:rFonts w:asciiTheme="majorHAnsi" w:hAnsiTheme="majorHAnsi" w:cs="Arial"/>
                <w:b/>
                <w:sz w:val="20"/>
                <w:szCs w:val="20"/>
                <w:lang w:val="en-GB"/>
              </w:rPr>
              <w:t>5</w:t>
            </w:r>
          </w:p>
        </w:tc>
      </w:tr>
      <w:tr w:rsidR="00CC1EC5" w:rsidRPr="006403CB" w:rsidTr="007314D7">
        <w:trPr>
          <w:trHeight w:val="375"/>
        </w:trPr>
        <w:tc>
          <w:tcPr>
            <w:tcW w:w="3141"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55" w:type="dxa"/>
            <w:gridSpan w:val="5"/>
            <w:vAlign w:val="center"/>
          </w:tcPr>
          <w:p w:rsidR="00CC1EC5" w:rsidRPr="007314D7" w:rsidRDefault="002E39CB" w:rsidP="00E30CBA">
            <w:pPr>
              <w:rPr>
                <w:rFonts w:asciiTheme="minorHAnsi" w:hAnsiTheme="minorHAnsi" w:cs="Arial"/>
                <w:sz w:val="20"/>
                <w:szCs w:val="20"/>
              </w:rPr>
            </w:pPr>
            <w:r>
              <w:rPr>
                <w:rFonts w:asciiTheme="minorHAnsi" w:hAnsiTheme="minorHAnsi" w:cs="Arial"/>
                <w:sz w:val="20"/>
                <w:szCs w:val="20"/>
              </w:rPr>
              <w:t>TYPOLOGY</w:t>
            </w:r>
          </w:p>
        </w:tc>
      </w:tr>
      <w:tr w:rsidR="00CC1EC5" w:rsidRPr="006403CB" w:rsidTr="007314D7">
        <w:trPr>
          <w:trHeight w:val="196"/>
        </w:trPr>
        <w:tc>
          <w:tcPr>
            <w:tcW w:w="552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9"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40" w:type="dxa"/>
            <w:gridSpan w:val="2"/>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29" w:type="dxa"/>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tcPr>
          <w:p w:rsidR="00CC1EC5" w:rsidRPr="006403CB" w:rsidRDefault="00CC1EC5" w:rsidP="00E30CBA">
            <w:pPr>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7314D7" w:rsidRPr="006403CB" w:rsidTr="007314D7">
        <w:trPr>
          <w:trHeight w:val="599"/>
        </w:trPr>
        <w:tc>
          <w:tcPr>
            <w:tcW w:w="3141" w:type="dxa"/>
            <w:shd w:val="clear" w:color="auto" w:fill="D0CECE" w:themeFill="background2" w:themeFillShade="E6"/>
          </w:tcPr>
          <w:p w:rsidR="007314D7" w:rsidRPr="006403CB" w:rsidRDefault="007314D7" w:rsidP="007314D7">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55" w:type="dxa"/>
            <w:gridSpan w:val="5"/>
            <w:vAlign w:val="center"/>
          </w:tcPr>
          <w:p w:rsidR="007314D7" w:rsidRPr="00E366E9" w:rsidRDefault="00E366E9" w:rsidP="007314D7">
            <w:pPr>
              <w:rPr>
                <w:rFonts w:ascii="Calibri" w:hAnsi="Calibri" w:cs="Arial"/>
                <w:sz w:val="20"/>
                <w:szCs w:val="20"/>
              </w:rPr>
            </w:pPr>
            <w:r>
              <w:rPr>
                <w:rFonts w:ascii="Calibri" w:hAnsi="Calibri" w:cs="Arial"/>
                <w:sz w:val="20"/>
                <w:szCs w:val="20"/>
              </w:rPr>
              <w:t>Special background</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7314D7" w:rsidRPr="006403CB" w:rsidRDefault="007314D7" w:rsidP="007314D7">
            <w:pPr>
              <w:jc w:val="right"/>
              <w:rPr>
                <w:rFonts w:asciiTheme="majorHAnsi" w:hAnsiTheme="majorHAnsi" w:cs="Arial"/>
                <w:b/>
                <w:sz w:val="20"/>
                <w:szCs w:val="20"/>
                <w:lang w:val="en-GB"/>
              </w:rPr>
            </w:pPr>
          </w:p>
        </w:tc>
        <w:tc>
          <w:tcPr>
            <w:tcW w:w="5155" w:type="dxa"/>
            <w:gridSpan w:val="5"/>
          </w:tcPr>
          <w:p w:rsidR="007314D7" w:rsidRPr="006403CB" w:rsidRDefault="007314D7" w:rsidP="007314D7">
            <w:pPr>
              <w:rPr>
                <w:rFonts w:asciiTheme="majorHAnsi" w:hAnsiTheme="majorHAnsi" w:cs="Arial"/>
                <w:color w:val="002060"/>
                <w:sz w:val="20"/>
                <w:szCs w:val="20"/>
                <w:lang w:val="en-GB"/>
              </w:rPr>
            </w:pPr>
          </w:p>
        </w:tc>
      </w:tr>
      <w:tr w:rsidR="007314D7" w:rsidRPr="006403CB" w:rsidTr="00467F10">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GREEK</w:t>
            </w:r>
          </w:p>
        </w:tc>
      </w:tr>
      <w:tr w:rsidR="007314D7" w:rsidRPr="006403CB" w:rsidTr="00137362">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NO</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55" w:type="dxa"/>
            <w:gridSpan w:val="5"/>
          </w:tcPr>
          <w:p w:rsidR="007314D7" w:rsidRPr="006403CB" w:rsidRDefault="007314D7" w:rsidP="007314D7">
            <w:pPr>
              <w:spacing w:after="200" w:line="276" w:lineRule="auto"/>
              <w:rPr>
                <w:rFonts w:asciiTheme="majorHAnsi" w:eastAsia="Calibri" w:hAnsiTheme="majorHAnsi" w:cs="Arial"/>
                <w:color w:val="002060"/>
                <w:sz w:val="20"/>
                <w:szCs w:val="20"/>
                <w:lang w:val="en-GB"/>
              </w:rPr>
            </w:pPr>
            <w:r w:rsidRPr="00914D74">
              <w:rPr>
                <w:rFonts w:ascii="Calibri" w:eastAsia="Calibri" w:hAnsi="Calibri" w:cs="Arial"/>
                <w:sz w:val="20"/>
                <w:szCs w:val="20"/>
              </w:rPr>
              <w:t>ECLASS.AEGEAN.GR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2E39CB" w:rsidRPr="002E39CB" w:rsidRDefault="002E39CB" w:rsidP="002E39CB">
            <w:pPr>
              <w:ind w:firstLine="360"/>
              <w:jc w:val="both"/>
              <w:rPr>
                <w:rFonts w:asciiTheme="minorHAnsi" w:hAnsiTheme="minorHAnsi" w:cstheme="minorHAnsi"/>
                <w:sz w:val="20"/>
                <w:szCs w:val="20"/>
              </w:rPr>
            </w:pPr>
            <w:r w:rsidRPr="002E39CB">
              <w:rPr>
                <w:rFonts w:asciiTheme="minorHAnsi" w:hAnsiTheme="minorHAnsi" w:cstheme="minorHAnsi"/>
                <w:sz w:val="20"/>
                <w:szCs w:val="20"/>
              </w:rPr>
              <w:t xml:space="preserve">After the completion of this course, the student should be able to: </w:t>
            </w:r>
          </w:p>
          <w:p w:rsidR="002E39CB" w:rsidRPr="002E39CB" w:rsidRDefault="002E39CB" w:rsidP="002E39CB">
            <w:pPr>
              <w:ind w:firstLine="720"/>
              <w:jc w:val="both"/>
              <w:rPr>
                <w:rFonts w:asciiTheme="minorHAnsi" w:hAnsiTheme="minorHAnsi" w:cstheme="minorHAnsi"/>
                <w:sz w:val="20"/>
                <w:szCs w:val="20"/>
              </w:rPr>
            </w:pPr>
            <w:r w:rsidRPr="002E39CB">
              <w:rPr>
                <w:rFonts w:asciiTheme="minorHAnsi" w:hAnsiTheme="minorHAnsi" w:cstheme="minorHAnsi"/>
                <w:sz w:val="20"/>
                <w:szCs w:val="20"/>
              </w:rPr>
              <w:t xml:space="preserve">After the completion of the course, the student should: </w:t>
            </w:r>
          </w:p>
          <w:p w:rsidR="002E39CB" w:rsidRPr="002E39CB" w:rsidRDefault="002E39CB" w:rsidP="002E39CB">
            <w:pPr>
              <w:numPr>
                <w:ilvl w:val="0"/>
                <w:numId w:val="3"/>
              </w:numPr>
              <w:jc w:val="both"/>
              <w:rPr>
                <w:rFonts w:asciiTheme="minorHAnsi" w:hAnsiTheme="minorHAnsi" w:cstheme="minorHAnsi"/>
                <w:sz w:val="20"/>
                <w:szCs w:val="20"/>
              </w:rPr>
            </w:pPr>
            <w:proofErr w:type="gramStart"/>
            <w:r w:rsidRPr="002E39CB">
              <w:rPr>
                <w:rFonts w:asciiTheme="minorHAnsi" w:hAnsiTheme="minorHAnsi" w:cstheme="minorHAnsi"/>
                <w:sz w:val="20"/>
                <w:szCs w:val="20"/>
              </w:rPr>
              <w:t>be able to</w:t>
            </w:r>
            <w:proofErr w:type="gramEnd"/>
            <w:r w:rsidRPr="002E39CB">
              <w:rPr>
                <w:rFonts w:asciiTheme="minorHAnsi" w:hAnsiTheme="minorHAnsi" w:cstheme="minorHAnsi"/>
                <w:sz w:val="20"/>
                <w:szCs w:val="20"/>
              </w:rPr>
              <w:t xml:space="preserve"> collect, analyze and compare empirical data from a group of languages other than his/her mother tongue in order to a) confirm the validity of a theory or b) propose a new hypothesis, </w:t>
            </w:r>
          </w:p>
          <w:p w:rsidR="002E39CB" w:rsidRPr="002E39CB" w:rsidRDefault="002E39CB" w:rsidP="002E39CB">
            <w:pPr>
              <w:numPr>
                <w:ilvl w:val="0"/>
                <w:numId w:val="3"/>
              </w:numPr>
              <w:jc w:val="both"/>
              <w:rPr>
                <w:rFonts w:asciiTheme="minorHAnsi" w:hAnsiTheme="minorHAnsi" w:cstheme="minorHAnsi"/>
                <w:sz w:val="20"/>
                <w:szCs w:val="20"/>
              </w:rPr>
            </w:pPr>
            <w:r w:rsidRPr="002E39CB">
              <w:rPr>
                <w:rFonts w:asciiTheme="minorHAnsi" w:hAnsiTheme="minorHAnsi" w:cstheme="minorHAnsi"/>
                <w:sz w:val="20"/>
                <w:szCs w:val="20"/>
              </w:rPr>
              <w:t xml:space="preserve">have acquired the aims and methods of the field of Typology, </w:t>
            </w:r>
          </w:p>
          <w:p w:rsidR="002E39CB" w:rsidRPr="002E39CB" w:rsidRDefault="002E39CB" w:rsidP="002E39CB">
            <w:pPr>
              <w:numPr>
                <w:ilvl w:val="0"/>
                <w:numId w:val="3"/>
              </w:numPr>
              <w:jc w:val="both"/>
              <w:rPr>
                <w:rFonts w:asciiTheme="minorHAnsi" w:hAnsiTheme="minorHAnsi" w:cstheme="minorHAnsi"/>
                <w:sz w:val="20"/>
                <w:szCs w:val="20"/>
              </w:rPr>
            </w:pPr>
            <w:r w:rsidRPr="002E39CB">
              <w:rPr>
                <w:rFonts w:asciiTheme="minorHAnsi" w:hAnsiTheme="minorHAnsi" w:cstheme="minorHAnsi"/>
                <w:sz w:val="20"/>
                <w:szCs w:val="20"/>
              </w:rPr>
              <w:t xml:space="preserve">have learnt to pinpoint language universal and idiosyncratic properties, </w:t>
            </w:r>
          </w:p>
          <w:p w:rsidR="002E39CB" w:rsidRPr="002E39CB" w:rsidRDefault="002E39CB" w:rsidP="002E39CB">
            <w:pPr>
              <w:numPr>
                <w:ilvl w:val="0"/>
                <w:numId w:val="3"/>
              </w:numPr>
              <w:jc w:val="both"/>
              <w:rPr>
                <w:rFonts w:asciiTheme="minorHAnsi" w:hAnsiTheme="minorHAnsi" w:cstheme="minorHAnsi"/>
                <w:sz w:val="20"/>
                <w:szCs w:val="20"/>
              </w:rPr>
            </w:pPr>
            <w:r w:rsidRPr="002E39CB">
              <w:rPr>
                <w:rFonts w:asciiTheme="minorHAnsi" w:hAnsiTheme="minorHAnsi" w:cstheme="minorHAnsi"/>
                <w:sz w:val="20"/>
                <w:szCs w:val="20"/>
              </w:rPr>
              <w:t xml:space="preserve">know how to analyze natural languages </w:t>
            </w:r>
            <w:proofErr w:type="gramStart"/>
            <w:r w:rsidRPr="002E39CB">
              <w:rPr>
                <w:rFonts w:asciiTheme="minorHAnsi" w:hAnsiTheme="minorHAnsi" w:cstheme="minorHAnsi"/>
                <w:sz w:val="20"/>
                <w:szCs w:val="20"/>
              </w:rPr>
              <w:t>on the basis of</w:t>
            </w:r>
            <w:proofErr w:type="gramEnd"/>
            <w:r w:rsidRPr="002E39CB">
              <w:rPr>
                <w:rFonts w:asciiTheme="minorHAnsi" w:hAnsiTheme="minorHAnsi" w:cstheme="minorHAnsi"/>
                <w:sz w:val="20"/>
                <w:szCs w:val="20"/>
              </w:rPr>
              <w:t xml:space="preserve"> the main levels of linguistic analysis (phonology/phonetics, morphology, syntax, semantics, pragmatics),</w:t>
            </w:r>
          </w:p>
          <w:p w:rsidR="002E39CB" w:rsidRPr="002E39CB" w:rsidRDefault="002E39CB" w:rsidP="002E39CB">
            <w:pPr>
              <w:numPr>
                <w:ilvl w:val="0"/>
                <w:numId w:val="3"/>
              </w:numPr>
              <w:jc w:val="both"/>
              <w:rPr>
                <w:rFonts w:asciiTheme="minorHAnsi" w:hAnsiTheme="minorHAnsi" w:cstheme="minorHAnsi"/>
                <w:sz w:val="20"/>
                <w:szCs w:val="20"/>
              </w:rPr>
            </w:pPr>
            <w:r w:rsidRPr="002E39CB">
              <w:rPr>
                <w:rFonts w:asciiTheme="minorHAnsi" w:hAnsiTheme="minorHAnsi" w:cstheme="minorHAnsi"/>
                <w:sz w:val="20"/>
                <w:szCs w:val="20"/>
              </w:rPr>
              <w:t xml:space="preserve">have linguistic knowledge on languages spoken in Europe (at the Mediterranean and elsewhere), Asia, Africa and Middle West and </w:t>
            </w:r>
          </w:p>
          <w:p w:rsidR="00CC1EC5" w:rsidRPr="006403CB" w:rsidRDefault="002E39CB" w:rsidP="002E39CB">
            <w:pPr>
              <w:numPr>
                <w:ilvl w:val="0"/>
                <w:numId w:val="3"/>
              </w:numPr>
              <w:jc w:val="both"/>
              <w:rPr>
                <w:rFonts w:asciiTheme="majorHAnsi" w:hAnsiTheme="majorHAnsi" w:cs="Arial"/>
                <w:i/>
                <w:sz w:val="16"/>
                <w:szCs w:val="16"/>
                <w:lang w:val="en-GB"/>
              </w:rPr>
            </w:pPr>
            <w:proofErr w:type="gramStart"/>
            <w:r w:rsidRPr="002E39CB">
              <w:rPr>
                <w:rFonts w:asciiTheme="minorHAnsi" w:hAnsiTheme="minorHAnsi" w:cstheme="minorHAnsi"/>
                <w:sz w:val="20"/>
                <w:szCs w:val="20"/>
              </w:rPr>
              <w:t>be able to</w:t>
            </w:r>
            <w:proofErr w:type="gramEnd"/>
            <w:r w:rsidRPr="002E39CB">
              <w:rPr>
                <w:rFonts w:asciiTheme="minorHAnsi" w:hAnsiTheme="minorHAnsi" w:cstheme="minorHAnsi"/>
                <w:sz w:val="20"/>
                <w:szCs w:val="20"/>
              </w:rPr>
              <w:t xml:space="preserve"> participate as a group member in the completion of an assignment and orally present it.</w:t>
            </w:r>
            <w:r w:rsidRPr="003F7446">
              <w:rPr>
                <w:rFonts w:ascii="Book Antiqua" w:hAnsi="Book Antiqua"/>
                <w:szCs w:val="22"/>
              </w:rPr>
              <w:t xml:space="preserve"> </w:t>
            </w:r>
            <w:r w:rsidR="007314D7" w:rsidRPr="00385D08">
              <w:rPr>
                <w:rFonts w:asciiTheme="minorHAnsi" w:hAnsiTheme="minorHAnsi"/>
                <w:sz w:val="20"/>
                <w:szCs w:val="20"/>
              </w:rPr>
              <w:t xml:space="preserve"> </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A5419" w:rsidTr="00E30CBA">
        <w:tc>
          <w:tcPr>
            <w:tcW w:w="8472" w:type="dxa"/>
            <w:gridSpan w:val="2"/>
            <w:tcBorders>
              <w:bottom w:val="single" w:sz="4" w:space="0" w:color="auto"/>
            </w:tcBorders>
          </w:tcPr>
          <w:p w:rsidR="007314D7" w:rsidRDefault="007314D7" w:rsidP="007314D7">
            <w:pPr>
              <w:widowControl w:val="0"/>
              <w:autoSpaceDE w:val="0"/>
              <w:autoSpaceDN w:val="0"/>
              <w:adjustRightInd w:val="0"/>
              <w:rPr>
                <w:rFonts w:asciiTheme="minorHAnsi" w:eastAsia="Calibri" w:hAnsiTheme="minorHAnsi" w:cstheme="minorHAnsi"/>
                <w:sz w:val="20"/>
                <w:szCs w:val="20"/>
              </w:rPr>
            </w:pPr>
            <w:r w:rsidRPr="007314D7">
              <w:rPr>
                <w:rFonts w:asciiTheme="minorHAnsi" w:eastAsia="Calibri" w:hAnsiTheme="minorHAnsi" w:cstheme="minorHAnsi"/>
                <w:sz w:val="20"/>
                <w:szCs w:val="20"/>
              </w:rPr>
              <w:t>-</w:t>
            </w:r>
            <w:r>
              <w:rPr>
                <w:rFonts w:asciiTheme="minorHAnsi" w:eastAsia="Calibri" w:hAnsiTheme="minorHAnsi" w:cstheme="minorHAnsi"/>
                <w:sz w:val="20"/>
                <w:szCs w:val="20"/>
              </w:rPr>
              <w:t>Search for, analysis and synthesis of data and information with the use of necessary technology</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new research ideas</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 xml:space="preserve">Criticism </w:t>
            </w:r>
          </w:p>
          <w:p w:rsidR="00CC1EC5" w:rsidRPr="006A5419" w:rsidRDefault="007314D7" w:rsidP="00385D08">
            <w:pPr>
              <w:widowControl w:val="0"/>
              <w:autoSpaceDE w:val="0"/>
              <w:autoSpaceDN w:val="0"/>
              <w:adjustRightInd w:val="0"/>
              <w:rPr>
                <w:rFonts w:asciiTheme="majorHAnsi" w:hAnsiTheme="majorHAnsi" w:cs="Arial"/>
                <w:i/>
                <w:sz w:val="16"/>
                <w:szCs w:val="16"/>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free, creative and inductive thinking</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2E39CB" w:rsidRDefault="002E39CB" w:rsidP="002E39CB">
            <w:pPr>
              <w:pStyle w:val="a"/>
              <w:ind w:left="360"/>
              <w:jc w:val="both"/>
              <w:rPr>
                <w:rFonts w:asciiTheme="majorHAnsi" w:hAnsiTheme="majorHAnsi" w:cs="Arial"/>
                <w:color w:val="002060"/>
                <w:sz w:val="20"/>
                <w:szCs w:val="20"/>
              </w:rPr>
            </w:pPr>
            <w:r w:rsidRPr="002E39CB">
              <w:rPr>
                <w:rFonts w:ascii="Calibri" w:hAnsi="Calibri" w:cs="Calibri"/>
                <w:sz w:val="20"/>
                <w:szCs w:val="20"/>
              </w:rPr>
              <w:t xml:space="preserve">This course introduces the student to the goals and methods of Typology, the linguistic sector which undertakes languages’ classification </w:t>
            </w:r>
            <w:proofErr w:type="gramStart"/>
            <w:r w:rsidRPr="002E39CB">
              <w:rPr>
                <w:rFonts w:ascii="Calibri" w:hAnsi="Calibri" w:cs="Calibri"/>
                <w:sz w:val="20"/>
                <w:szCs w:val="20"/>
              </w:rPr>
              <w:t>on the basis of</w:t>
            </w:r>
            <w:proofErr w:type="gramEnd"/>
            <w:r w:rsidRPr="002E39CB">
              <w:rPr>
                <w:rFonts w:ascii="Calibri" w:hAnsi="Calibri" w:cs="Calibri"/>
                <w:sz w:val="20"/>
                <w:szCs w:val="20"/>
              </w:rPr>
              <w:t xml:space="preserve"> their idiosyncratic or universal characteristics. More precisely, special emphasis is given on language universal properties and on the </w:t>
            </w:r>
            <w:proofErr w:type="gramStart"/>
            <w:r w:rsidRPr="002E39CB">
              <w:rPr>
                <w:rFonts w:ascii="Calibri" w:hAnsi="Calibri" w:cs="Calibri"/>
                <w:sz w:val="20"/>
                <w:szCs w:val="20"/>
              </w:rPr>
              <w:t>way</w:t>
            </w:r>
            <w:proofErr w:type="gramEnd"/>
            <w:r w:rsidRPr="002E39CB">
              <w:rPr>
                <w:rFonts w:ascii="Calibri" w:hAnsi="Calibri" w:cs="Calibri"/>
                <w:sz w:val="20"/>
                <w:szCs w:val="20"/>
              </w:rPr>
              <w:t xml:space="preserve"> they are detected. Moreover, indicative typological methodologies of all levels of linguistic analysis (phonology, lexicon, grammar, syntax, semantics, morphology) are presented, with the help of which the student undertakes her first typological research on the Mediterranean language(s) of her choice. </w:t>
            </w: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385D08" w:rsidRDefault="00B43833" w:rsidP="00E30CBA">
            <w:pPr>
              <w:spacing w:after="200" w:line="276" w:lineRule="auto"/>
              <w:rPr>
                <w:rFonts w:ascii="Calibri" w:eastAsia="Calibri" w:hAnsi="Calibri" w:cs="Calibri"/>
                <w:iCs/>
                <w:sz w:val="20"/>
                <w:szCs w:val="20"/>
                <w:lang w:val="en-GB"/>
              </w:rPr>
            </w:pPr>
            <w:r w:rsidRPr="00385D08">
              <w:rPr>
                <w:rFonts w:ascii="Calibri" w:eastAsia="Calibri" w:hAnsi="Calibri" w:cs="Calibri"/>
                <w:iCs/>
                <w:sz w:val="20"/>
                <w:szCs w:val="2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385D08" w:rsidRDefault="00B43833" w:rsidP="00E30CBA">
            <w:pPr>
              <w:rPr>
                <w:rFonts w:ascii="Calibri" w:hAnsi="Calibri" w:cs="Calibri"/>
                <w:sz w:val="20"/>
                <w:szCs w:val="20"/>
                <w:lang w:val="en-GB"/>
              </w:rPr>
            </w:pPr>
            <w:r w:rsidRPr="00385D08">
              <w:rPr>
                <w:rFonts w:ascii="Calibri" w:hAnsi="Calibri" w:cs="Calibri"/>
                <w:sz w:val="20"/>
                <w:szCs w:val="20"/>
                <w:lang w:val="en-GB"/>
              </w:rPr>
              <w:t>Use of ICT in teaching and communicating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43833" w:rsidRPr="00B43833" w:rsidTr="00E30CBA">
              <w:tc>
                <w:tcPr>
                  <w:tcW w:w="2467"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Semester workload</w:t>
                  </w:r>
                </w:p>
              </w:tc>
            </w:tr>
            <w:tr w:rsidR="00B43833" w:rsidRPr="00B43833" w:rsidTr="00E30CBA">
              <w:tc>
                <w:tcPr>
                  <w:tcW w:w="2467" w:type="dxa"/>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Lectures</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39 hours (1.56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Personal study</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83 hours (3.32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End of semester exam</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 hours (0.12 ECTS)</w:t>
                  </w: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tcPr>
                <w:p w:rsidR="00CC1EC5" w:rsidRPr="00B43833" w:rsidRDefault="00CC1EC5" w:rsidP="00E30CBA">
                  <w:pPr>
                    <w:rPr>
                      <w:rFonts w:asciiTheme="minorHAnsi" w:hAnsiTheme="minorHAnsi"/>
                      <w:iCs/>
                      <w:sz w:val="20"/>
                      <w:szCs w:val="20"/>
                      <w:lang w:val="en-GB"/>
                    </w:rPr>
                  </w:pPr>
                  <w:r w:rsidRPr="00B43833">
                    <w:rPr>
                      <w:rFonts w:asciiTheme="minorHAnsi" w:hAnsiTheme="minorHAnsi"/>
                      <w:iCs/>
                      <w:sz w:val="20"/>
                      <w:szCs w:val="20"/>
                      <w:lang w:val="en-GB"/>
                    </w:rPr>
                    <w:t xml:space="preserve">Course total </w:t>
                  </w:r>
                </w:p>
              </w:tc>
              <w:tc>
                <w:tcPr>
                  <w:tcW w:w="2468" w:type="dxa"/>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1"/>
                    <w:gridCol w:w="2201"/>
                  </w:tblGrid>
                  <w:tr w:rsidR="00B43833" w:rsidRPr="00B43833" w:rsidTr="00B43833">
                    <w:trPr>
                      <w:tblCellSpacing w:w="0" w:type="dxa"/>
                    </w:trPr>
                    <w:tc>
                      <w:tcPr>
                        <w:tcW w:w="0" w:type="auto"/>
                        <w:vAlign w:val="center"/>
                        <w:hideMark/>
                      </w:tcPr>
                      <w:p w:rsidR="00B43833" w:rsidRPr="00B43833" w:rsidRDefault="00B43833" w:rsidP="00B43833">
                        <w:pPr>
                          <w:rPr>
                            <w:rFonts w:asciiTheme="minorHAnsi" w:hAnsiTheme="minorHAnsi"/>
                            <w:sz w:val="20"/>
                            <w:szCs w:val="20"/>
                            <w:lang w:val="el-GR"/>
                          </w:rPr>
                        </w:pPr>
                      </w:p>
                    </w:tc>
                    <w:tc>
                      <w:tcPr>
                        <w:tcW w:w="0" w:type="auto"/>
                        <w:vAlign w:val="center"/>
                        <w:hideMark/>
                      </w:tcPr>
                      <w:p w:rsidR="00B43833" w:rsidRPr="00B43833" w:rsidRDefault="00B43833" w:rsidP="00B43833">
                        <w:pPr>
                          <w:rPr>
                            <w:rFonts w:asciiTheme="minorHAnsi" w:hAnsiTheme="minorHAnsi"/>
                            <w:sz w:val="20"/>
                            <w:szCs w:val="20"/>
                          </w:rPr>
                        </w:pPr>
                        <w:r w:rsidRPr="00B43833">
                          <w:rPr>
                            <w:rStyle w:val="Emphasis"/>
                            <w:rFonts w:asciiTheme="minorHAnsi" w:hAnsiTheme="minorHAnsi"/>
                            <w:b/>
                            <w:bCs/>
                            <w:sz w:val="20"/>
                            <w:szCs w:val="20"/>
                          </w:rPr>
                          <w:t>125 hours (5 ECTS)</w:t>
                        </w:r>
                      </w:p>
                    </w:tc>
                  </w:tr>
                </w:tbl>
                <w:p w:rsidR="00CC1EC5" w:rsidRPr="00B43833" w:rsidRDefault="00CC1EC5" w:rsidP="00E30CBA">
                  <w:pPr>
                    <w:jc w:val="center"/>
                    <w:rPr>
                      <w:rFonts w:asciiTheme="minorHAnsi" w:hAnsiTheme="minorHAnsi" w:cs="Arial"/>
                      <w:b/>
                      <w:i/>
                      <w:sz w:val="20"/>
                      <w:szCs w:val="20"/>
                      <w:lang w:val="en-GB"/>
                    </w:rPr>
                  </w:pPr>
                </w:p>
              </w:tc>
            </w:tr>
          </w:tbl>
          <w:p w:rsidR="00CC1EC5" w:rsidRPr="00B43833" w:rsidRDefault="00CC1EC5" w:rsidP="00E30CBA">
            <w:pPr>
              <w:rPr>
                <w:rFonts w:asciiTheme="majorHAnsi" w:hAnsiTheme="majorHAnsi" w:cs="Tahoma"/>
                <w:sz w:val="20"/>
                <w:szCs w:val="20"/>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6403CB" w:rsidRDefault="00A87A62" w:rsidP="00385D08">
            <w:pPr>
              <w:rPr>
                <w:rFonts w:asciiTheme="majorHAnsi" w:hAnsiTheme="majorHAnsi" w:cs="Arial"/>
                <w:color w:val="002060"/>
                <w:lang w:val="en-GB"/>
              </w:rPr>
            </w:pPr>
            <w:r>
              <w:rPr>
                <w:rFonts w:asciiTheme="minorHAnsi" w:hAnsiTheme="minorHAnsi" w:cs="Arial"/>
                <w:sz w:val="20"/>
                <w:szCs w:val="20"/>
              </w:rPr>
              <w:t>Students are examined in Greek. They are invited to give short answers to a small number of questions.</w:t>
            </w:r>
          </w:p>
        </w:tc>
      </w:tr>
    </w:tbl>
    <w:p w:rsidR="00385D08" w:rsidRDefault="00385D08" w:rsidP="00385D08">
      <w:pPr>
        <w:widowControl w:val="0"/>
        <w:autoSpaceDE w:val="0"/>
        <w:autoSpaceDN w:val="0"/>
        <w:adjustRightInd w:val="0"/>
        <w:spacing w:before="240" w:after="200" w:line="276" w:lineRule="auto"/>
        <w:ind w:left="357"/>
        <w:rPr>
          <w:rFonts w:asciiTheme="majorHAnsi" w:hAnsiTheme="majorHAnsi" w:cs="Arial"/>
          <w:b/>
          <w:color w:val="000000"/>
          <w:sz w:val="22"/>
          <w:szCs w:val="22"/>
          <w:lang w:val="en-GB"/>
        </w:rPr>
      </w:pPr>
    </w:p>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7A035D" w:rsidTr="00E30CBA">
        <w:tc>
          <w:tcPr>
            <w:tcW w:w="8472" w:type="dxa"/>
          </w:tcPr>
          <w:p w:rsidR="002E39CB" w:rsidRPr="002E39CB" w:rsidRDefault="002E39CB" w:rsidP="002E39CB">
            <w:pPr>
              <w:rPr>
                <w:rFonts w:asciiTheme="minorHAnsi" w:hAnsiTheme="minorHAnsi" w:cstheme="minorHAnsi"/>
                <w:i/>
                <w:sz w:val="20"/>
                <w:szCs w:val="20"/>
              </w:rPr>
            </w:pPr>
            <w:r w:rsidRPr="002E39CB">
              <w:rPr>
                <w:rFonts w:asciiTheme="minorHAnsi" w:hAnsiTheme="minorHAnsi" w:cstheme="minorHAnsi"/>
                <w:i/>
                <w:sz w:val="20"/>
                <w:szCs w:val="20"/>
              </w:rPr>
              <w:t>Suggested bibliography:</w:t>
            </w:r>
          </w:p>
          <w:p w:rsidR="002E39CB" w:rsidRPr="002E39CB" w:rsidRDefault="002E39CB" w:rsidP="002E39CB">
            <w:pPr>
              <w:pStyle w:val="NormalWeb"/>
              <w:spacing w:before="0" w:beforeAutospacing="0" w:after="0" w:afterAutospacing="0"/>
              <w:jc w:val="both"/>
              <w:rPr>
                <w:rFonts w:asciiTheme="minorHAnsi" w:hAnsiTheme="minorHAnsi" w:cstheme="minorHAnsi"/>
                <w:sz w:val="20"/>
                <w:szCs w:val="20"/>
              </w:rPr>
            </w:pPr>
            <w:r w:rsidRPr="002E39CB">
              <w:rPr>
                <w:rFonts w:asciiTheme="minorHAnsi" w:hAnsiTheme="minorHAnsi" w:cstheme="minorHAnsi"/>
                <w:sz w:val="20"/>
                <w:szCs w:val="20"/>
              </w:rPr>
              <w:t xml:space="preserve">Miller George, 1995, </w:t>
            </w:r>
            <w:r w:rsidRPr="002E39CB">
              <w:rPr>
                <w:rFonts w:asciiTheme="minorHAnsi" w:hAnsiTheme="minorHAnsi" w:cstheme="minorHAnsi"/>
                <w:i/>
                <w:iCs/>
                <w:sz w:val="20"/>
                <w:szCs w:val="20"/>
              </w:rPr>
              <w:t>Γλώσσα και ομιλία</w:t>
            </w:r>
            <w:r w:rsidRPr="002E39CB">
              <w:rPr>
                <w:rFonts w:asciiTheme="minorHAnsi" w:hAnsiTheme="minorHAnsi" w:cstheme="minorHAnsi"/>
                <w:sz w:val="20"/>
                <w:szCs w:val="20"/>
              </w:rPr>
              <w:t xml:space="preserve">. Εκδόσεις </w:t>
            </w:r>
            <w:r w:rsidRPr="002E39CB">
              <w:rPr>
                <w:rFonts w:asciiTheme="minorHAnsi" w:hAnsiTheme="minorHAnsi" w:cstheme="minorHAnsi"/>
                <w:sz w:val="20"/>
                <w:szCs w:val="20"/>
                <w:lang w:val="fr-FR"/>
              </w:rPr>
              <w:t>Gutenberg</w:t>
            </w:r>
            <w:r w:rsidRPr="002E39CB">
              <w:rPr>
                <w:rFonts w:asciiTheme="minorHAnsi" w:hAnsiTheme="minorHAnsi" w:cstheme="minorHAnsi"/>
                <w:sz w:val="20"/>
                <w:szCs w:val="20"/>
              </w:rPr>
              <w:t>.</w:t>
            </w:r>
          </w:p>
          <w:p w:rsidR="002E39CB" w:rsidRPr="002E39CB" w:rsidRDefault="002E39CB" w:rsidP="002E39CB">
            <w:pPr>
              <w:pStyle w:val="NormalWeb"/>
              <w:spacing w:before="0" w:beforeAutospacing="0" w:after="0" w:afterAutospacing="0"/>
              <w:jc w:val="both"/>
              <w:rPr>
                <w:rFonts w:asciiTheme="minorHAnsi" w:hAnsiTheme="minorHAnsi" w:cstheme="minorHAnsi"/>
                <w:sz w:val="20"/>
                <w:szCs w:val="20"/>
              </w:rPr>
            </w:pPr>
            <w:proofErr w:type="spellStart"/>
            <w:r w:rsidRPr="002E39CB">
              <w:rPr>
                <w:rFonts w:asciiTheme="minorHAnsi" w:hAnsiTheme="minorHAnsi" w:cstheme="minorHAnsi"/>
                <w:sz w:val="20"/>
                <w:szCs w:val="20"/>
                <w:lang w:val="fr-FR"/>
              </w:rPr>
              <w:t>Fromkin</w:t>
            </w:r>
            <w:proofErr w:type="spellEnd"/>
            <w:r w:rsidRPr="002E39CB">
              <w:rPr>
                <w:rFonts w:asciiTheme="minorHAnsi" w:hAnsiTheme="minorHAnsi" w:cstheme="minorHAnsi"/>
                <w:sz w:val="20"/>
                <w:szCs w:val="20"/>
              </w:rPr>
              <w:t xml:space="preserve"> </w:t>
            </w:r>
            <w:r w:rsidRPr="002E39CB">
              <w:rPr>
                <w:rFonts w:asciiTheme="minorHAnsi" w:hAnsiTheme="minorHAnsi" w:cstheme="minorHAnsi"/>
                <w:sz w:val="20"/>
                <w:szCs w:val="20"/>
                <w:lang w:val="fr-FR"/>
              </w:rPr>
              <w:t>et</w:t>
            </w:r>
            <w:r w:rsidRPr="002E39CB">
              <w:rPr>
                <w:rFonts w:asciiTheme="minorHAnsi" w:hAnsiTheme="minorHAnsi" w:cstheme="minorHAnsi"/>
                <w:sz w:val="20"/>
                <w:szCs w:val="20"/>
              </w:rPr>
              <w:t xml:space="preserve"> </w:t>
            </w:r>
            <w:r w:rsidRPr="002E39CB">
              <w:rPr>
                <w:rFonts w:asciiTheme="minorHAnsi" w:hAnsiTheme="minorHAnsi" w:cstheme="minorHAnsi"/>
                <w:sz w:val="20"/>
                <w:szCs w:val="20"/>
                <w:lang w:val="fr-FR"/>
              </w:rPr>
              <w:t>al</w:t>
            </w:r>
            <w:r w:rsidRPr="002E39CB">
              <w:rPr>
                <w:rFonts w:asciiTheme="minorHAnsi" w:hAnsiTheme="minorHAnsi" w:cstheme="minorHAnsi"/>
                <w:sz w:val="20"/>
                <w:szCs w:val="20"/>
              </w:rPr>
              <w:t xml:space="preserve">. 2008. </w:t>
            </w:r>
            <w:r w:rsidRPr="002E39CB">
              <w:rPr>
                <w:rFonts w:asciiTheme="minorHAnsi" w:hAnsiTheme="minorHAnsi" w:cstheme="minorHAnsi"/>
                <w:i/>
                <w:sz w:val="20"/>
                <w:szCs w:val="20"/>
              </w:rPr>
              <w:t>Εισαγωγή στη μελέτη της γλώσσας</w:t>
            </w:r>
            <w:r w:rsidRPr="002E39CB">
              <w:rPr>
                <w:rFonts w:asciiTheme="minorHAnsi" w:hAnsiTheme="minorHAnsi" w:cstheme="minorHAnsi"/>
                <w:sz w:val="20"/>
                <w:szCs w:val="20"/>
              </w:rPr>
              <w:t xml:space="preserve">. Εκδόσεις Πατάκης. </w:t>
            </w:r>
          </w:p>
          <w:p w:rsidR="002E39CB" w:rsidRPr="002E39CB" w:rsidRDefault="002E39CB" w:rsidP="002E39CB">
            <w:pPr>
              <w:rPr>
                <w:rFonts w:asciiTheme="minorHAnsi" w:hAnsiTheme="minorHAnsi" w:cstheme="minorHAnsi"/>
                <w:b/>
                <w:sz w:val="20"/>
                <w:szCs w:val="20"/>
                <w:lang w:val="el-GR"/>
              </w:rPr>
            </w:pPr>
            <w:r w:rsidRPr="002E39CB">
              <w:rPr>
                <w:rFonts w:asciiTheme="minorHAnsi" w:hAnsiTheme="minorHAnsi" w:cstheme="minorHAnsi"/>
                <w:i/>
                <w:sz w:val="20"/>
                <w:szCs w:val="20"/>
                <w:lang w:val="el-GR"/>
              </w:rPr>
              <w:t>Σημειώσεις του μαθήματος</w:t>
            </w:r>
          </w:p>
          <w:p w:rsidR="002E39CB" w:rsidRPr="002E39CB" w:rsidRDefault="002E39CB" w:rsidP="002E39CB">
            <w:pPr>
              <w:rPr>
                <w:rFonts w:asciiTheme="minorHAnsi" w:hAnsiTheme="minorHAnsi" w:cstheme="minorHAnsi"/>
                <w:b/>
                <w:sz w:val="20"/>
                <w:szCs w:val="20"/>
                <w:lang w:val="el-GR"/>
              </w:rPr>
            </w:pPr>
          </w:p>
          <w:p w:rsidR="002E39CB" w:rsidRPr="002E39CB" w:rsidRDefault="002E39CB" w:rsidP="002E39CB">
            <w:pPr>
              <w:rPr>
                <w:rFonts w:asciiTheme="minorHAnsi" w:hAnsiTheme="minorHAnsi" w:cstheme="minorHAnsi"/>
                <w:i/>
                <w:sz w:val="20"/>
                <w:szCs w:val="20"/>
              </w:rPr>
            </w:pPr>
            <w:r w:rsidRPr="002E39CB">
              <w:rPr>
                <w:rFonts w:asciiTheme="minorHAnsi" w:hAnsiTheme="minorHAnsi" w:cstheme="minorHAnsi"/>
                <w:i/>
                <w:sz w:val="20"/>
                <w:szCs w:val="20"/>
              </w:rPr>
              <w:t xml:space="preserve">Related academic journals: </w:t>
            </w:r>
          </w:p>
          <w:p w:rsidR="002E39CB" w:rsidRPr="002E39CB" w:rsidRDefault="002E39CB" w:rsidP="002E39CB">
            <w:pPr>
              <w:rPr>
                <w:rFonts w:asciiTheme="minorHAnsi" w:hAnsiTheme="minorHAnsi" w:cstheme="minorHAnsi"/>
                <w:sz w:val="20"/>
                <w:szCs w:val="20"/>
              </w:rPr>
            </w:pPr>
            <w:r w:rsidRPr="002E39CB">
              <w:rPr>
                <w:rFonts w:asciiTheme="minorHAnsi" w:hAnsiTheme="minorHAnsi" w:cstheme="minorHAnsi"/>
                <w:sz w:val="20"/>
                <w:szCs w:val="20"/>
              </w:rPr>
              <w:t xml:space="preserve">Anderson, S. R. 1985. </w:t>
            </w:r>
            <w:r w:rsidRPr="002E39CB">
              <w:rPr>
                <w:rFonts w:asciiTheme="minorHAnsi" w:hAnsiTheme="minorHAnsi" w:cstheme="minorHAnsi"/>
                <w:i/>
                <w:iCs/>
                <w:sz w:val="20"/>
                <w:szCs w:val="20"/>
              </w:rPr>
              <w:t>Phonology in the Twentieth Century: Theories of Rules and Theories of Representations.</w:t>
            </w:r>
            <w:r w:rsidRPr="002E39CB">
              <w:rPr>
                <w:rFonts w:asciiTheme="minorHAnsi" w:hAnsiTheme="minorHAnsi" w:cstheme="minorHAnsi"/>
                <w:sz w:val="20"/>
                <w:szCs w:val="20"/>
              </w:rPr>
              <w:t xml:space="preserve"> Chicago: University of Chicago Press.</w:t>
            </w:r>
          </w:p>
          <w:p w:rsidR="002E39CB" w:rsidRPr="002E39CB" w:rsidRDefault="002E39CB" w:rsidP="002E39CB">
            <w:pPr>
              <w:ind w:left="360" w:hanging="360"/>
              <w:jc w:val="both"/>
              <w:rPr>
                <w:rFonts w:asciiTheme="minorHAnsi" w:hAnsiTheme="minorHAnsi" w:cstheme="minorHAnsi"/>
                <w:sz w:val="20"/>
                <w:szCs w:val="20"/>
                <w:lang w:val="fr-FR"/>
              </w:rPr>
            </w:pPr>
            <w:r w:rsidRPr="002E39CB">
              <w:rPr>
                <w:rFonts w:asciiTheme="minorHAnsi" w:hAnsiTheme="minorHAnsi" w:cstheme="minorHAnsi"/>
                <w:sz w:val="20"/>
                <w:szCs w:val="20"/>
              </w:rPr>
              <w:t xml:space="preserve">Berlin, B. &amp; Kay, P. 1969. </w:t>
            </w:r>
            <w:r w:rsidRPr="002E39CB">
              <w:rPr>
                <w:rFonts w:asciiTheme="minorHAnsi" w:hAnsiTheme="minorHAnsi" w:cstheme="minorHAnsi"/>
                <w:i/>
                <w:iCs/>
                <w:sz w:val="20"/>
                <w:szCs w:val="20"/>
              </w:rPr>
              <w:t>Basic Color Terms: Their Universality and Evolution</w:t>
            </w:r>
            <w:r w:rsidRPr="002E39CB">
              <w:rPr>
                <w:rFonts w:asciiTheme="minorHAnsi" w:hAnsiTheme="minorHAnsi" w:cstheme="minorHAnsi"/>
                <w:sz w:val="20"/>
                <w:szCs w:val="20"/>
              </w:rPr>
              <w:t xml:space="preserve">. </w:t>
            </w:r>
            <w:proofErr w:type="gramStart"/>
            <w:r w:rsidRPr="002E39CB">
              <w:rPr>
                <w:rFonts w:asciiTheme="minorHAnsi" w:hAnsiTheme="minorHAnsi" w:cstheme="minorHAnsi"/>
                <w:sz w:val="20"/>
                <w:szCs w:val="20"/>
                <w:lang w:val="fr-FR"/>
              </w:rPr>
              <w:t>Berkeley:</w:t>
            </w:r>
            <w:proofErr w:type="gramEnd"/>
            <w:r w:rsidRPr="002E39CB">
              <w:rPr>
                <w:rFonts w:asciiTheme="minorHAnsi" w:hAnsiTheme="minorHAnsi" w:cstheme="minorHAnsi"/>
                <w:sz w:val="20"/>
                <w:szCs w:val="20"/>
                <w:lang w:val="fr-FR"/>
              </w:rPr>
              <w:t xml:space="preserve"> </w:t>
            </w:r>
            <w:proofErr w:type="spellStart"/>
            <w:r w:rsidRPr="002E39CB">
              <w:rPr>
                <w:rFonts w:asciiTheme="minorHAnsi" w:hAnsiTheme="minorHAnsi" w:cstheme="minorHAnsi"/>
                <w:sz w:val="20"/>
                <w:szCs w:val="20"/>
                <w:lang w:val="fr-FR"/>
              </w:rPr>
              <w:t>University</w:t>
            </w:r>
            <w:proofErr w:type="spellEnd"/>
            <w:r w:rsidRPr="002E39CB">
              <w:rPr>
                <w:rFonts w:asciiTheme="minorHAnsi" w:hAnsiTheme="minorHAnsi" w:cstheme="minorHAnsi"/>
                <w:sz w:val="20"/>
                <w:szCs w:val="20"/>
                <w:lang w:val="fr-FR"/>
              </w:rPr>
              <w:t xml:space="preserve"> of California </w:t>
            </w:r>
            <w:proofErr w:type="spellStart"/>
            <w:r w:rsidRPr="002E39CB">
              <w:rPr>
                <w:rFonts w:asciiTheme="minorHAnsi" w:hAnsiTheme="minorHAnsi" w:cstheme="minorHAnsi"/>
                <w:sz w:val="20"/>
                <w:szCs w:val="20"/>
                <w:lang w:val="fr-FR"/>
              </w:rPr>
              <w:t>Press</w:t>
            </w:r>
            <w:proofErr w:type="spellEnd"/>
            <w:r w:rsidRPr="002E39CB">
              <w:rPr>
                <w:rFonts w:asciiTheme="minorHAnsi" w:hAnsiTheme="minorHAnsi" w:cstheme="minorHAnsi"/>
                <w:sz w:val="20"/>
                <w:szCs w:val="20"/>
                <w:lang w:val="fr-FR"/>
              </w:rPr>
              <w:t>.</w:t>
            </w:r>
          </w:p>
          <w:p w:rsidR="002E39CB" w:rsidRPr="002E39CB" w:rsidRDefault="002E39CB" w:rsidP="002E39CB">
            <w:pPr>
              <w:ind w:left="360" w:hanging="360"/>
              <w:jc w:val="both"/>
              <w:rPr>
                <w:rFonts w:asciiTheme="minorHAnsi" w:hAnsiTheme="minorHAnsi" w:cstheme="minorHAnsi"/>
                <w:sz w:val="20"/>
                <w:szCs w:val="20"/>
              </w:rPr>
            </w:pPr>
            <w:r w:rsidRPr="002E39CB">
              <w:rPr>
                <w:rFonts w:asciiTheme="minorHAnsi" w:hAnsiTheme="minorHAnsi" w:cstheme="minorHAnsi"/>
                <w:sz w:val="20"/>
                <w:szCs w:val="20"/>
                <w:lang w:val="fr-FR"/>
              </w:rPr>
              <w:t xml:space="preserve">De Saussure, F. 1922. </w:t>
            </w:r>
            <w:r w:rsidRPr="002E39CB">
              <w:rPr>
                <w:rFonts w:asciiTheme="minorHAnsi" w:hAnsiTheme="minorHAnsi" w:cstheme="minorHAnsi"/>
                <w:i/>
                <w:iCs/>
                <w:sz w:val="20"/>
                <w:szCs w:val="20"/>
                <w:lang w:val="fr-FR"/>
              </w:rPr>
              <w:t>Écrits de linguistique générale</w:t>
            </w:r>
            <w:r w:rsidRPr="002E39CB">
              <w:rPr>
                <w:rFonts w:asciiTheme="minorHAnsi" w:hAnsiTheme="minorHAnsi" w:cstheme="minorHAnsi"/>
                <w:sz w:val="20"/>
                <w:szCs w:val="20"/>
                <w:lang w:val="fr-FR"/>
              </w:rPr>
              <w:t xml:space="preserve">. </w:t>
            </w:r>
            <w:r w:rsidRPr="002E39CB">
              <w:rPr>
                <w:rFonts w:asciiTheme="minorHAnsi" w:hAnsiTheme="minorHAnsi" w:cstheme="minorHAnsi"/>
                <w:sz w:val="20"/>
                <w:szCs w:val="20"/>
              </w:rPr>
              <w:t xml:space="preserve">Paris: </w:t>
            </w:r>
            <w:proofErr w:type="spellStart"/>
            <w:r w:rsidRPr="002E39CB">
              <w:rPr>
                <w:rFonts w:asciiTheme="minorHAnsi" w:hAnsiTheme="minorHAnsi" w:cstheme="minorHAnsi"/>
                <w:sz w:val="20"/>
                <w:szCs w:val="20"/>
              </w:rPr>
              <w:t>Gallimard</w:t>
            </w:r>
            <w:proofErr w:type="spellEnd"/>
            <w:r w:rsidRPr="002E39CB">
              <w:rPr>
                <w:rFonts w:asciiTheme="minorHAnsi" w:hAnsiTheme="minorHAnsi" w:cstheme="minorHAnsi"/>
                <w:sz w:val="20"/>
                <w:szCs w:val="20"/>
              </w:rPr>
              <w:t xml:space="preserve">. </w:t>
            </w:r>
          </w:p>
          <w:p w:rsidR="002E39CB" w:rsidRPr="002E39CB" w:rsidRDefault="002E39CB" w:rsidP="002E39CB">
            <w:pPr>
              <w:pStyle w:val="References"/>
              <w:ind w:left="360" w:hanging="360"/>
              <w:jc w:val="both"/>
              <w:rPr>
                <w:rFonts w:asciiTheme="minorHAnsi" w:hAnsiTheme="minorHAnsi" w:cstheme="minorHAnsi"/>
              </w:rPr>
            </w:pPr>
            <w:r w:rsidRPr="002E39CB">
              <w:rPr>
                <w:rFonts w:asciiTheme="minorHAnsi" w:hAnsiTheme="minorHAnsi" w:cstheme="minorHAnsi"/>
              </w:rPr>
              <w:t xml:space="preserve">Eggers, S., </w:t>
            </w:r>
            <w:proofErr w:type="spellStart"/>
            <w:r w:rsidRPr="002E39CB">
              <w:rPr>
                <w:rFonts w:asciiTheme="minorHAnsi" w:hAnsiTheme="minorHAnsi" w:cstheme="minorHAnsi"/>
              </w:rPr>
              <w:t>Langendoen</w:t>
            </w:r>
            <w:proofErr w:type="spellEnd"/>
            <w:r w:rsidRPr="002E39CB">
              <w:rPr>
                <w:rFonts w:asciiTheme="minorHAnsi" w:hAnsiTheme="minorHAnsi" w:cstheme="minorHAnsi"/>
              </w:rPr>
              <w:t xml:space="preserve">, T. D. and Lewis, W.D. </w:t>
            </w:r>
            <w:bookmarkStart w:id="0" w:name="_Toc514128663"/>
            <w:r w:rsidRPr="002E39CB">
              <w:rPr>
                <w:rFonts w:asciiTheme="minorHAnsi" w:hAnsiTheme="minorHAnsi" w:cstheme="minorHAnsi"/>
              </w:rPr>
              <w:t>2004. The GOLD Ontology</w:t>
            </w:r>
            <w:bookmarkEnd w:id="0"/>
            <w:r w:rsidRPr="002E39CB">
              <w:rPr>
                <w:rFonts w:asciiTheme="minorHAnsi" w:hAnsiTheme="minorHAnsi" w:cstheme="minorHAnsi"/>
              </w:rPr>
              <w:t xml:space="preserve">. </w:t>
            </w:r>
            <w:r w:rsidRPr="002E39CB">
              <w:rPr>
                <w:rFonts w:asciiTheme="minorHAnsi" w:hAnsiTheme="minorHAnsi" w:cstheme="minorHAnsi"/>
                <w:lang w:val="el-GR"/>
              </w:rPr>
              <w:t>Στο</w:t>
            </w:r>
            <w:r w:rsidRPr="002E39CB">
              <w:rPr>
                <w:rFonts w:asciiTheme="minorHAnsi" w:hAnsiTheme="minorHAnsi" w:cstheme="minorHAnsi"/>
                <w:lang w:val="en-US"/>
              </w:rPr>
              <w:t xml:space="preserve"> </w:t>
            </w:r>
            <w:r w:rsidRPr="002E39CB">
              <w:rPr>
                <w:rFonts w:asciiTheme="minorHAnsi" w:hAnsiTheme="minorHAnsi" w:cstheme="minorHAnsi"/>
                <w:i/>
              </w:rPr>
              <w:t>E-MELD Language documentation conference 2004: Workshop on linguistic databases and best practice</w:t>
            </w:r>
            <w:r w:rsidRPr="002E39CB">
              <w:rPr>
                <w:rFonts w:asciiTheme="minorHAnsi" w:hAnsiTheme="minorHAnsi" w:cstheme="minorHAnsi"/>
              </w:rPr>
              <w:t>. Wayne State University, Detroit, Michigan, July 15</w:t>
            </w:r>
            <w:r w:rsidRPr="002E39CB">
              <w:rPr>
                <w:rFonts w:asciiTheme="minorHAnsi" w:hAnsiTheme="minorHAnsi" w:cstheme="minorHAnsi"/>
                <w:vertAlign w:val="superscript"/>
              </w:rPr>
              <w:t xml:space="preserve">th </w:t>
            </w:r>
            <w:r w:rsidRPr="002E39CB">
              <w:rPr>
                <w:rFonts w:asciiTheme="minorHAnsi" w:hAnsiTheme="minorHAnsi" w:cstheme="minorHAnsi"/>
              </w:rPr>
              <w:t>- 18</w:t>
            </w:r>
            <w:r w:rsidRPr="002E39CB">
              <w:rPr>
                <w:rFonts w:asciiTheme="minorHAnsi" w:hAnsiTheme="minorHAnsi" w:cstheme="minorHAnsi"/>
                <w:vertAlign w:val="superscript"/>
              </w:rPr>
              <w:t>th</w:t>
            </w:r>
            <w:r w:rsidRPr="002E39CB">
              <w:rPr>
                <w:rFonts w:asciiTheme="minorHAnsi" w:hAnsiTheme="minorHAnsi" w:cstheme="minorHAnsi"/>
              </w:rPr>
              <w:t>.</w:t>
            </w:r>
          </w:p>
          <w:p w:rsidR="002E39CB" w:rsidRPr="002E39CB" w:rsidRDefault="002E39CB" w:rsidP="002E39CB">
            <w:pPr>
              <w:jc w:val="both"/>
              <w:rPr>
                <w:rFonts w:asciiTheme="minorHAnsi" w:hAnsiTheme="minorHAnsi" w:cstheme="minorHAnsi"/>
                <w:sz w:val="20"/>
                <w:szCs w:val="20"/>
              </w:rPr>
            </w:pPr>
            <w:proofErr w:type="spellStart"/>
            <w:r w:rsidRPr="002E39CB">
              <w:rPr>
                <w:rFonts w:asciiTheme="minorHAnsi" w:hAnsiTheme="minorHAnsi" w:cstheme="minorHAnsi"/>
                <w:sz w:val="20"/>
                <w:szCs w:val="20"/>
              </w:rPr>
              <w:t>Haspelmath</w:t>
            </w:r>
            <w:proofErr w:type="spellEnd"/>
            <w:r w:rsidRPr="002E39CB">
              <w:rPr>
                <w:rFonts w:asciiTheme="minorHAnsi" w:hAnsiTheme="minorHAnsi" w:cstheme="minorHAnsi"/>
                <w:sz w:val="20"/>
                <w:szCs w:val="20"/>
              </w:rPr>
              <w:t xml:space="preserve">, M. 1997. </w:t>
            </w:r>
            <w:r w:rsidRPr="002E39CB">
              <w:rPr>
                <w:rFonts w:asciiTheme="minorHAnsi" w:hAnsiTheme="minorHAnsi" w:cstheme="minorHAnsi"/>
                <w:i/>
                <w:sz w:val="20"/>
                <w:szCs w:val="20"/>
              </w:rPr>
              <w:t xml:space="preserve">Indefinite pronouns. </w:t>
            </w:r>
            <w:r w:rsidRPr="002E39CB">
              <w:rPr>
                <w:rFonts w:asciiTheme="minorHAnsi" w:hAnsiTheme="minorHAnsi" w:cstheme="minorHAnsi"/>
                <w:sz w:val="20"/>
                <w:szCs w:val="20"/>
              </w:rPr>
              <w:t xml:space="preserve">Oxford: Oxford University Press. </w:t>
            </w:r>
          </w:p>
          <w:p w:rsidR="002E39CB" w:rsidRPr="002E39CB" w:rsidRDefault="002E39CB" w:rsidP="002E39CB">
            <w:pPr>
              <w:ind w:left="360" w:hanging="360"/>
              <w:jc w:val="both"/>
              <w:rPr>
                <w:rFonts w:asciiTheme="minorHAnsi" w:hAnsiTheme="minorHAnsi" w:cstheme="minorHAnsi"/>
                <w:sz w:val="20"/>
                <w:szCs w:val="20"/>
              </w:rPr>
            </w:pPr>
            <w:r w:rsidRPr="002E39CB">
              <w:rPr>
                <w:rFonts w:asciiTheme="minorHAnsi" w:hAnsiTheme="minorHAnsi" w:cstheme="minorHAnsi"/>
                <w:sz w:val="20"/>
                <w:szCs w:val="20"/>
              </w:rPr>
              <w:t xml:space="preserve">Humboldt, W, von. 1827. </w:t>
            </w:r>
            <w:r w:rsidRPr="002E39CB">
              <w:rPr>
                <w:rFonts w:asciiTheme="minorHAnsi" w:hAnsiTheme="minorHAnsi" w:cstheme="minorHAnsi"/>
                <w:i/>
                <w:sz w:val="20"/>
                <w:szCs w:val="20"/>
              </w:rPr>
              <w:t xml:space="preserve">Uber die </w:t>
            </w:r>
            <w:proofErr w:type="spellStart"/>
            <w:r w:rsidRPr="002E39CB">
              <w:rPr>
                <w:rFonts w:asciiTheme="minorHAnsi" w:hAnsiTheme="minorHAnsi" w:cstheme="minorHAnsi"/>
                <w:i/>
                <w:sz w:val="20"/>
                <w:szCs w:val="20"/>
              </w:rPr>
              <w:t>Sprache</w:t>
            </w:r>
            <w:proofErr w:type="spellEnd"/>
            <w:r w:rsidRPr="002E39CB">
              <w:rPr>
                <w:rFonts w:asciiTheme="minorHAnsi" w:hAnsiTheme="minorHAnsi" w:cstheme="minorHAnsi"/>
                <w:i/>
                <w:sz w:val="20"/>
                <w:szCs w:val="20"/>
              </w:rPr>
              <w:t xml:space="preserve">. </w:t>
            </w:r>
            <w:r w:rsidRPr="002E39CB">
              <w:rPr>
                <w:rFonts w:asciiTheme="minorHAnsi" w:hAnsiTheme="minorHAnsi" w:cstheme="minorHAnsi"/>
                <w:sz w:val="20"/>
                <w:szCs w:val="20"/>
              </w:rPr>
              <w:t>J. Trabant (</w:t>
            </w:r>
            <w:r w:rsidRPr="002E39CB">
              <w:rPr>
                <w:rFonts w:asciiTheme="minorHAnsi" w:hAnsiTheme="minorHAnsi" w:cstheme="minorHAnsi"/>
                <w:sz w:val="20"/>
                <w:szCs w:val="20"/>
                <w:lang w:val="el-GR"/>
              </w:rPr>
              <w:t>επιμ</w:t>
            </w:r>
            <w:r w:rsidRPr="002E39CB">
              <w:rPr>
                <w:rFonts w:asciiTheme="minorHAnsi" w:hAnsiTheme="minorHAnsi" w:cstheme="minorHAnsi"/>
                <w:sz w:val="20"/>
                <w:szCs w:val="20"/>
              </w:rPr>
              <w:t xml:space="preserve">.). Munich: </w:t>
            </w:r>
            <w:proofErr w:type="spellStart"/>
            <w:r w:rsidRPr="002E39CB">
              <w:rPr>
                <w:rFonts w:asciiTheme="minorHAnsi" w:hAnsiTheme="minorHAnsi" w:cstheme="minorHAnsi"/>
                <w:sz w:val="20"/>
                <w:szCs w:val="20"/>
              </w:rPr>
              <w:t>Deutscher</w:t>
            </w:r>
            <w:proofErr w:type="spellEnd"/>
            <w:r w:rsidRPr="002E39CB">
              <w:rPr>
                <w:rFonts w:asciiTheme="minorHAnsi" w:hAnsiTheme="minorHAnsi" w:cstheme="minorHAnsi"/>
                <w:sz w:val="20"/>
                <w:szCs w:val="20"/>
              </w:rPr>
              <w:t xml:space="preserve"> </w:t>
            </w:r>
            <w:proofErr w:type="spellStart"/>
            <w:r w:rsidRPr="002E39CB">
              <w:rPr>
                <w:rFonts w:asciiTheme="minorHAnsi" w:hAnsiTheme="minorHAnsi" w:cstheme="minorHAnsi"/>
                <w:sz w:val="20"/>
                <w:szCs w:val="20"/>
              </w:rPr>
              <w:t>Taschenbuchverlag</w:t>
            </w:r>
            <w:proofErr w:type="spellEnd"/>
            <w:r w:rsidRPr="002E39CB">
              <w:rPr>
                <w:rFonts w:asciiTheme="minorHAnsi" w:hAnsiTheme="minorHAnsi" w:cstheme="minorHAnsi"/>
                <w:sz w:val="20"/>
                <w:szCs w:val="20"/>
              </w:rPr>
              <w:t xml:space="preserve">, 1985.   </w:t>
            </w:r>
          </w:p>
          <w:p w:rsidR="002E39CB" w:rsidRPr="002E39CB" w:rsidRDefault="002E39CB" w:rsidP="002E39CB">
            <w:pPr>
              <w:ind w:left="360" w:hanging="360"/>
              <w:jc w:val="both"/>
              <w:rPr>
                <w:rFonts w:asciiTheme="minorHAnsi" w:hAnsiTheme="minorHAnsi" w:cstheme="minorHAnsi"/>
                <w:sz w:val="20"/>
                <w:szCs w:val="20"/>
              </w:rPr>
            </w:pPr>
            <w:r w:rsidRPr="002E39CB">
              <w:rPr>
                <w:rFonts w:asciiTheme="minorHAnsi" w:hAnsiTheme="minorHAnsi" w:cstheme="minorHAnsi"/>
                <w:sz w:val="20"/>
                <w:szCs w:val="20"/>
              </w:rPr>
              <w:t xml:space="preserve">Jakobson, R. 1971. </w:t>
            </w:r>
            <w:r w:rsidRPr="002E39CB">
              <w:rPr>
                <w:rFonts w:asciiTheme="minorHAnsi" w:hAnsiTheme="minorHAnsi" w:cstheme="minorHAnsi"/>
                <w:i/>
                <w:sz w:val="20"/>
                <w:szCs w:val="20"/>
              </w:rPr>
              <w:t xml:space="preserve">Selected writings: word and language </w:t>
            </w:r>
            <w:r w:rsidRPr="002E39CB">
              <w:rPr>
                <w:rFonts w:asciiTheme="minorHAnsi" w:hAnsiTheme="minorHAnsi" w:cstheme="minorHAnsi"/>
                <w:sz w:val="20"/>
                <w:szCs w:val="20"/>
              </w:rPr>
              <w:t>(The Hague: Mouton).</w:t>
            </w:r>
          </w:p>
          <w:p w:rsidR="002E39CB" w:rsidRPr="002E39CB" w:rsidRDefault="002E39CB" w:rsidP="002E39CB">
            <w:pPr>
              <w:ind w:left="360" w:hanging="360"/>
              <w:jc w:val="both"/>
              <w:rPr>
                <w:rFonts w:asciiTheme="minorHAnsi" w:hAnsiTheme="minorHAnsi" w:cstheme="minorHAnsi"/>
                <w:sz w:val="20"/>
                <w:szCs w:val="20"/>
              </w:rPr>
            </w:pPr>
            <w:r w:rsidRPr="002E39CB">
              <w:rPr>
                <w:rFonts w:asciiTheme="minorHAnsi" w:hAnsiTheme="minorHAnsi" w:cstheme="minorHAnsi"/>
                <w:sz w:val="20"/>
                <w:szCs w:val="20"/>
              </w:rPr>
              <w:t xml:space="preserve">Pawley, A. 1993. A language which defies description by ordinary means. </w:t>
            </w:r>
            <w:r w:rsidRPr="002E39CB">
              <w:rPr>
                <w:rFonts w:asciiTheme="minorHAnsi" w:hAnsiTheme="minorHAnsi" w:cstheme="minorHAnsi"/>
                <w:sz w:val="20"/>
                <w:szCs w:val="20"/>
                <w:lang w:val="el-GR"/>
              </w:rPr>
              <w:t>Στο</w:t>
            </w:r>
            <w:r w:rsidRPr="002E39CB">
              <w:rPr>
                <w:rFonts w:asciiTheme="minorHAnsi" w:hAnsiTheme="minorHAnsi" w:cstheme="minorHAnsi"/>
                <w:sz w:val="20"/>
                <w:szCs w:val="20"/>
              </w:rPr>
              <w:t xml:space="preserve"> </w:t>
            </w:r>
            <w:r w:rsidRPr="002E39CB">
              <w:rPr>
                <w:rFonts w:asciiTheme="minorHAnsi" w:hAnsiTheme="minorHAnsi" w:cstheme="minorHAnsi"/>
                <w:i/>
                <w:sz w:val="20"/>
                <w:szCs w:val="20"/>
              </w:rPr>
              <w:t xml:space="preserve">The role of theory in language description. </w:t>
            </w:r>
            <w:r w:rsidRPr="002E39CB">
              <w:rPr>
                <w:rFonts w:asciiTheme="minorHAnsi" w:hAnsiTheme="minorHAnsi" w:cstheme="minorHAnsi"/>
                <w:sz w:val="20"/>
                <w:szCs w:val="20"/>
              </w:rPr>
              <w:t xml:space="preserve">Berlin/New York: Mouton de </w:t>
            </w:r>
            <w:proofErr w:type="spellStart"/>
            <w:r w:rsidRPr="002E39CB">
              <w:rPr>
                <w:rFonts w:asciiTheme="minorHAnsi" w:hAnsiTheme="minorHAnsi" w:cstheme="minorHAnsi"/>
                <w:sz w:val="20"/>
                <w:szCs w:val="20"/>
              </w:rPr>
              <w:t>Gruyter</w:t>
            </w:r>
            <w:proofErr w:type="spellEnd"/>
            <w:r w:rsidRPr="002E39CB">
              <w:rPr>
                <w:rFonts w:asciiTheme="minorHAnsi" w:hAnsiTheme="minorHAnsi" w:cstheme="minorHAnsi"/>
                <w:sz w:val="20"/>
                <w:szCs w:val="20"/>
              </w:rPr>
              <w:t xml:space="preserve">. </w:t>
            </w:r>
          </w:p>
          <w:p w:rsidR="002E39CB" w:rsidRPr="002E39CB" w:rsidRDefault="002E39CB" w:rsidP="002E39CB">
            <w:pPr>
              <w:ind w:left="360" w:hanging="360"/>
              <w:jc w:val="both"/>
              <w:rPr>
                <w:rFonts w:asciiTheme="minorHAnsi" w:hAnsiTheme="minorHAnsi" w:cstheme="minorHAnsi"/>
                <w:sz w:val="20"/>
                <w:szCs w:val="20"/>
              </w:rPr>
            </w:pPr>
            <w:r w:rsidRPr="002E39CB">
              <w:rPr>
                <w:rFonts w:asciiTheme="minorHAnsi" w:hAnsiTheme="minorHAnsi" w:cstheme="minorHAnsi"/>
                <w:sz w:val="20"/>
                <w:szCs w:val="20"/>
              </w:rPr>
              <w:t xml:space="preserve">Sapir, E. 1921. </w:t>
            </w:r>
            <w:r w:rsidRPr="002E39CB">
              <w:rPr>
                <w:rFonts w:asciiTheme="minorHAnsi" w:hAnsiTheme="minorHAnsi" w:cstheme="minorHAnsi"/>
                <w:i/>
                <w:iCs/>
                <w:sz w:val="20"/>
                <w:szCs w:val="20"/>
              </w:rPr>
              <w:t>Language: An Introduction to the Study of Speech.</w:t>
            </w:r>
            <w:r w:rsidRPr="002E39CB">
              <w:rPr>
                <w:rFonts w:asciiTheme="minorHAnsi" w:hAnsiTheme="minorHAnsi" w:cstheme="minorHAnsi"/>
                <w:sz w:val="20"/>
                <w:szCs w:val="20"/>
              </w:rPr>
              <w:t xml:space="preserve"> New York: Harcourt, Brace.</w:t>
            </w:r>
          </w:p>
          <w:p w:rsidR="00CC1EC5" w:rsidRPr="007A035D" w:rsidRDefault="002E39CB" w:rsidP="002E39CB">
            <w:pPr>
              <w:ind w:left="360" w:hanging="360"/>
              <w:jc w:val="both"/>
              <w:rPr>
                <w:rFonts w:asciiTheme="minorHAnsi" w:hAnsiTheme="minorHAnsi" w:cs="Arial"/>
                <w:b/>
                <w:sz w:val="20"/>
                <w:szCs w:val="20"/>
                <w:lang w:val="en-GB"/>
              </w:rPr>
            </w:pPr>
            <w:proofErr w:type="spellStart"/>
            <w:r w:rsidRPr="002E39CB">
              <w:rPr>
                <w:rFonts w:asciiTheme="minorHAnsi" w:hAnsiTheme="minorHAnsi" w:cstheme="minorHAnsi"/>
                <w:sz w:val="20"/>
                <w:szCs w:val="20"/>
              </w:rPr>
              <w:t>Vlachou</w:t>
            </w:r>
            <w:proofErr w:type="spellEnd"/>
            <w:r w:rsidRPr="002E39CB">
              <w:rPr>
                <w:rFonts w:asciiTheme="minorHAnsi" w:hAnsiTheme="minorHAnsi" w:cstheme="minorHAnsi"/>
                <w:sz w:val="20"/>
                <w:szCs w:val="20"/>
              </w:rPr>
              <w:t xml:space="preserve">, E. 2007. </w:t>
            </w:r>
            <w:r w:rsidRPr="002E39CB">
              <w:rPr>
                <w:rFonts w:asciiTheme="minorHAnsi" w:hAnsiTheme="minorHAnsi" w:cstheme="minorHAnsi"/>
                <w:i/>
                <w:sz w:val="20"/>
                <w:szCs w:val="20"/>
              </w:rPr>
              <w:t>Free choice in and out of context</w:t>
            </w:r>
            <w:r w:rsidRPr="002E39CB">
              <w:rPr>
                <w:rFonts w:asciiTheme="minorHAnsi" w:hAnsiTheme="minorHAnsi" w:cstheme="minorHAnsi"/>
                <w:sz w:val="20"/>
                <w:szCs w:val="20"/>
              </w:rPr>
              <w:t xml:space="preserve">. </w:t>
            </w:r>
            <w:r w:rsidRPr="002E39CB">
              <w:rPr>
                <w:rFonts w:asciiTheme="minorHAnsi" w:hAnsiTheme="minorHAnsi" w:cstheme="minorHAnsi"/>
                <w:i/>
                <w:sz w:val="20"/>
                <w:szCs w:val="20"/>
              </w:rPr>
              <w:t>Semantics and distribution of French, Greek and English free choice items</w:t>
            </w:r>
            <w:r w:rsidRPr="002E39CB">
              <w:rPr>
                <w:rFonts w:asciiTheme="minorHAnsi" w:hAnsiTheme="minorHAnsi" w:cstheme="minorHAnsi"/>
                <w:sz w:val="20"/>
                <w:szCs w:val="20"/>
              </w:rPr>
              <w:t xml:space="preserve">. </w:t>
            </w:r>
            <w:r w:rsidRPr="002E39CB">
              <w:rPr>
                <w:rFonts w:asciiTheme="minorHAnsi" w:hAnsiTheme="minorHAnsi" w:cstheme="minorHAnsi"/>
                <w:sz w:val="20"/>
                <w:szCs w:val="20"/>
                <w:lang w:val="el-GR"/>
              </w:rPr>
              <w:t>Διδακτορική</w:t>
            </w:r>
            <w:r w:rsidRPr="002E39CB">
              <w:rPr>
                <w:rFonts w:asciiTheme="minorHAnsi" w:hAnsiTheme="minorHAnsi" w:cstheme="minorHAnsi"/>
                <w:sz w:val="20"/>
                <w:szCs w:val="20"/>
              </w:rPr>
              <w:t xml:space="preserve"> </w:t>
            </w:r>
            <w:r w:rsidRPr="002E39CB">
              <w:rPr>
                <w:rFonts w:asciiTheme="minorHAnsi" w:hAnsiTheme="minorHAnsi" w:cstheme="minorHAnsi"/>
                <w:sz w:val="20"/>
                <w:szCs w:val="20"/>
                <w:lang w:val="el-GR"/>
              </w:rPr>
              <w:t>διατριβή</w:t>
            </w:r>
            <w:r w:rsidRPr="002E39CB">
              <w:rPr>
                <w:rFonts w:asciiTheme="minorHAnsi" w:hAnsiTheme="minorHAnsi" w:cstheme="minorHAnsi"/>
                <w:sz w:val="20"/>
                <w:szCs w:val="20"/>
              </w:rPr>
              <w:t xml:space="preserve"> </w:t>
            </w:r>
            <w:r w:rsidRPr="002E39CB">
              <w:rPr>
                <w:rFonts w:asciiTheme="minorHAnsi" w:hAnsiTheme="minorHAnsi" w:cstheme="minorHAnsi"/>
                <w:sz w:val="20"/>
                <w:szCs w:val="20"/>
                <w:lang w:val="el-GR"/>
              </w:rPr>
              <w:t>δημοσιευμένη</w:t>
            </w:r>
            <w:r w:rsidRPr="002E39CB">
              <w:rPr>
                <w:rFonts w:asciiTheme="minorHAnsi" w:hAnsiTheme="minorHAnsi" w:cstheme="minorHAnsi"/>
                <w:sz w:val="20"/>
                <w:szCs w:val="20"/>
              </w:rPr>
              <w:t xml:space="preserve"> </w:t>
            </w:r>
            <w:r w:rsidRPr="002E39CB">
              <w:rPr>
                <w:rFonts w:asciiTheme="minorHAnsi" w:hAnsiTheme="minorHAnsi" w:cstheme="minorHAnsi"/>
                <w:sz w:val="20"/>
                <w:szCs w:val="20"/>
                <w:lang w:val="el-GR"/>
              </w:rPr>
              <w:t>στο</w:t>
            </w:r>
            <w:r w:rsidRPr="002E39CB">
              <w:rPr>
                <w:rFonts w:asciiTheme="minorHAnsi" w:hAnsiTheme="minorHAnsi" w:cstheme="minorHAnsi"/>
                <w:sz w:val="20"/>
                <w:szCs w:val="20"/>
              </w:rPr>
              <w:t xml:space="preserve"> LOT dissertation series.</w:t>
            </w:r>
            <w:r w:rsidRPr="002E39CB">
              <w:rPr>
                <w:rFonts w:ascii="Book Antiqua" w:hAnsi="Book Antiqua"/>
              </w:rPr>
              <w:t xml:space="preserve"> </w:t>
            </w:r>
          </w:p>
        </w:tc>
      </w:tr>
    </w:tbl>
    <w:p w:rsidR="00B22020" w:rsidRPr="007A035D" w:rsidRDefault="00B22020">
      <w:pPr>
        <w:rPr>
          <w:rFonts w:asciiTheme="minorHAnsi" w:hAnsiTheme="minorHAnsi"/>
          <w:sz w:val="20"/>
          <w:szCs w:val="20"/>
        </w:rPr>
      </w:pPr>
      <w:bookmarkStart w:id="1" w:name="_GoBack"/>
      <w:bookmarkEnd w:id="1"/>
    </w:p>
    <w:sectPr w:rsidR="00B22020" w:rsidRPr="007A03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A4A"/>
    <w:multiLevelType w:val="hybridMultilevel"/>
    <w:tmpl w:val="5D7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E362F23"/>
    <w:multiLevelType w:val="hybridMultilevel"/>
    <w:tmpl w:val="7A406A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1F3570"/>
    <w:multiLevelType w:val="hybridMultilevel"/>
    <w:tmpl w:val="923A4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840BD"/>
    <w:multiLevelType w:val="hybridMultilevel"/>
    <w:tmpl w:val="197E48BC"/>
    <w:lvl w:ilvl="0" w:tplc="645808E2">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A7AFC"/>
    <w:rsid w:val="002E39CB"/>
    <w:rsid w:val="00385D08"/>
    <w:rsid w:val="006A5419"/>
    <w:rsid w:val="006A5903"/>
    <w:rsid w:val="007314D7"/>
    <w:rsid w:val="007A035D"/>
    <w:rsid w:val="008865E5"/>
    <w:rsid w:val="009E6AC9"/>
    <w:rsid w:val="00A771EB"/>
    <w:rsid w:val="00A87A62"/>
    <w:rsid w:val="00B22020"/>
    <w:rsid w:val="00B43833"/>
    <w:rsid w:val="00C36535"/>
    <w:rsid w:val="00CC1EC5"/>
    <w:rsid w:val="00E366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92E1"/>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styleId="Emphasis">
    <w:name w:val="Emphasis"/>
    <w:basedOn w:val="DefaultParagraphFont"/>
    <w:uiPriority w:val="20"/>
    <w:qFormat/>
    <w:rsid w:val="00B43833"/>
    <w:rPr>
      <w:i/>
      <w:iCs/>
    </w:rPr>
  </w:style>
  <w:style w:type="paragraph" w:styleId="NormalWeb">
    <w:name w:val="Normal (Web)"/>
    <w:basedOn w:val="Normal"/>
    <w:unhideWhenUsed/>
    <w:rsid w:val="00B43833"/>
    <w:pPr>
      <w:spacing w:before="100" w:beforeAutospacing="1" w:after="100" w:afterAutospacing="1"/>
    </w:pPr>
    <w:rPr>
      <w:lang w:val="el-GR" w:eastAsia="el-GR"/>
    </w:rPr>
  </w:style>
  <w:style w:type="character" w:styleId="HTMLCite">
    <w:name w:val="HTML Cite"/>
    <w:basedOn w:val="DefaultParagraphFont"/>
    <w:rsid w:val="00B43833"/>
    <w:rPr>
      <w:rFonts w:ascii="Verdana" w:hAnsi="Verdana" w:hint="default"/>
      <w:i w:val="0"/>
      <w:iCs w:val="0"/>
    </w:rPr>
  </w:style>
  <w:style w:type="paragraph" w:customStyle="1" w:styleId="a">
    <w:name w:val="Παράγραφος λίστας"/>
    <w:basedOn w:val="Normal"/>
    <w:qFormat/>
    <w:rsid w:val="002E39CB"/>
    <w:pPr>
      <w:ind w:left="720"/>
    </w:pPr>
  </w:style>
  <w:style w:type="paragraph" w:customStyle="1" w:styleId="References">
    <w:name w:val="References"/>
    <w:basedOn w:val="Normal"/>
    <w:rsid w:val="002E39CB"/>
    <w:pPr>
      <w:ind w:left="720" w:hanging="720"/>
    </w:pPr>
    <w:rPr>
      <w:rFonts w:eastAsia="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1085</Words>
  <Characters>5861</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Evangelia Vlachou</cp:lastModifiedBy>
  <cp:revision>10</cp:revision>
  <dcterms:created xsi:type="dcterms:W3CDTF">2017-03-09T12:36:00Z</dcterms:created>
  <dcterms:modified xsi:type="dcterms:W3CDTF">2017-05-30T08:29:00Z</dcterms:modified>
</cp:coreProperties>
</file>