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8A48F2" w:rsidRPr="006403CB" w:rsidRDefault="00602E46"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8A48F2">
              <w:rPr>
                <w:rFonts w:asciiTheme="majorHAnsi" w:hAnsiTheme="majorHAnsi" w:cs="Arial"/>
                <w:color w:val="002060"/>
                <w:sz w:val="20"/>
                <w:szCs w:val="20"/>
                <w:lang w:val="en-GB"/>
              </w:rPr>
              <w:t>f Humanities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310247" w:rsidP="00E30CBA">
            <w:pPr>
              <w:rPr>
                <w:rFonts w:asciiTheme="majorHAnsi" w:hAnsiTheme="majorHAnsi" w:cs="Arial"/>
                <w:b/>
                <w:sz w:val="20"/>
                <w:szCs w:val="20"/>
                <w:lang w:val="en-GB"/>
              </w:rPr>
            </w:pPr>
            <w:r w:rsidRPr="00310247">
              <w:rPr>
                <w:rFonts w:ascii="Calibri" w:hAnsi="Calibri" w:cs="Arial"/>
                <w:color w:val="002060"/>
                <w:sz w:val="20"/>
                <w:szCs w:val="20"/>
                <w:lang w:val="el-GR"/>
              </w:rPr>
              <w:t>ΓΥΕ-27</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230AF8" w:rsidRDefault="00310247" w:rsidP="00E30CBA">
            <w:pPr>
              <w:rPr>
                <w:rFonts w:asciiTheme="majorHAnsi" w:hAnsiTheme="majorHAnsi" w:cs="Arial"/>
                <w:sz w:val="20"/>
                <w:szCs w:val="20"/>
              </w:rPr>
            </w:pPr>
            <w:r>
              <w:rPr>
                <w:rFonts w:asciiTheme="majorHAnsi" w:hAnsiTheme="majorHAnsi" w:cs="Arial"/>
                <w:sz w:val="20"/>
                <w:szCs w:val="20"/>
                <w:lang w:val="el-GR"/>
              </w:rPr>
              <w:t>7</w:t>
            </w:r>
            <w:proofErr w:type="spellStart"/>
            <w:r w:rsidR="00AB29AF" w:rsidRPr="00230AF8">
              <w:rPr>
                <w:rFonts w:asciiTheme="majorHAnsi" w:hAnsiTheme="majorHAnsi" w:cs="Arial"/>
                <w:sz w:val="20"/>
                <w:szCs w:val="20"/>
              </w:rPr>
              <w:t>th</w:t>
            </w:r>
            <w:proofErr w:type="spellEnd"/>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310247" w:rsidRDefault="00310247" w:rsidP="00E30CBA">
            <w:pPr>
              <w:rPr>
                <w:rFonts w:asciiTheme="minorHAnsi" w:hAnsiTheme="minorHAnsi" w:cs="Arial"/>
                <w:color w:val="1F4E79" w:themeColor="accent1" w:themeShade="80"/>
                <w:lang w:val="it-IT"/>
              </w:rPr>
            </w:pPr>
            <w:r>
              <w:rPr>
                <w:rFonts w:asciiTheme="minorHAnsi" w:hAnsiTheme="minorHAnsi"/>
                <w:color w:val="1F4E79" w:themeColor="accent1" w:themeShade="80"/>
                <w:sz w:val="22"/>
                <w:szCs w:val="22"/>
                <w:lang w:val="it-IT" w:eastAsia="el-GR"/>
              </w:rPr>
              <w:t>Textlinguistics</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230AF8" w:rsidRDefault="00602E46" w:rsidP="00E30CBA">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specialised general knowledge</w:t>
            </w:r>
            <w:r w:rsidR="00AB29AF" w:rsidRPr="00230AF8">
              <w:rPr>
                <w:rFonts w:asciiTheme="minorHAnsi" w:hAnsiTheme="minorHAnsi" w:cs="Arial"/>
                <w:i/>
                <w:color w:val="1F4E79" w:themeColor="accent1" w:themeShade="80"/>
                <w:sz w:val="22"/>
                <w:szCs w:val="22"/>
                <w:lang w:val="en-GB"/>
              </w:rPr>
              <w:t>, 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310247" w:rsidTr="00E30CBA">
        <w:tc>
          <w:tcPr>
            <w:tcW w:w="8472" w:type="dxa"/>
            <w:gridSpan w:val="2"/>
          </w:tcPr>
          <w:p w:rsidR="006A5903" w:rsidRPr="008A48F2" w:rsidRDefault="006A5903" w:rsidP="006A5903">
            <w:pPr>
              <w:widowControl w:val="0"/>
              <w:autoSpaceDE w:val="0"/>
              <w:autoSpaceDN w:val="0"/>
              <w:adjustRightInd w:val="0"/>
              <w:rPr>
                <w:rFonts w:ascii="Calibri" w:eastAsia="Calibri" w:hAnsi="Calibri"/>
                <w:b/>
                <w:color w:val="002060"/>
              </w:rPr>
            </w:pPr>
          </w:p>
          <w:p w:rsidR="00AB29AF" w:rsidRPr="0044255E" w:rsidRDefault="00AB29AF" w:rsidP="00230AF8">
            <w:pPr>
              <w:widowControl w:val="0"/>
              <w:jc w:val="both"/>
              <w:rPr>
                <w:rFonts w:asciiTheme="minorHAnsi" w:hAnsiTheme="minorHAnsi" w:cstheme="minorHAnsi"/>
                <w:color w:val="1F4E79" w:themeColor="accent1" w:themeShade="80"/>
                <w:lang w:eastAsia="el-GR"/>
              </w:rPr>
            </w:pPr>
            <w:r w:rsidRPr="0044255E">
              <w:rPr>
                <w:rFonts w:asciiTheme="minorHAnsi" w:eastAsia="Calibri" w:hAnsiTheme="minorHAnsi" w:cstheme="minorHAnsi"/>
                <w:color w:val="1F4E79" w:themeColor="accent1" w:themeShade="80"/>
                <w:sz w:val="22"/>
                <w:szCs w:val="22"/>
                <w:lang w:eastAsia="el-GR"/>
              </w:rPr>
              <w:t>With the successful completion of the course students should be able</w:t>
            </w:r>
            <w:r w:rsidRPr="0044255E">
              <w:rPr>
                <w:rFonts w:asciiTheme="minorHAnsi" w:hAnsiTheme="minorHAnsi" w:cstheme="minorHAnsi"/>
                <w:color w:val="1F4E79" w:themeColor="accent1" w:themeShade="80"/>
                <w:sz w:val="22"/>
                <w:szCs w:val="22"/>
                <w:lang w:eastAsia="el-GR"/>
              </w:rPr>
              <w:t xml:space="preserve"> to</w:t>
            </w:r>
            <w:r w:rsidRPr="0044255E">
              <w:rPr>
                <w:rFonts w:asciiTheme="minorHAnsi" w:eastAsia="Calibri" w:hAnsiTheme="minorHAnsi" w:cstheme="minorHAnsi"/>
                <w:color w:val="1F4E79" w:themeColor="accent1" w:themeShade="80"/>
                <w:sz w:val="22"/>
                <w:szCs w:val="22"/>
                <w:lang w:eastAsia="el-GR"/>
              </w:rPr>
              <w:t>:</w:t>
            </w:r>
          </w:p>
          <w:p w:rsidR="00310247" w:rsidRPr="0044255E" w:rsidRDefault="00AB29AF" w:rsidP="00230AF8">
            <w:pPr>
              <w:widowControl w:val="0"/>
              <w:jc w:val="both"/>
              <w:rPr>
                <w:rFonts w:asciiTheme="minorHAnsi" w:hAnsiTheme="minorHAnsi" w:cstheme="minorHAnsi"/>
                <w:color w:val="1F4E79" w:themeColor="accent1" w:themeShade="80"/>
                <w:lang w:eastAsia="el-GR"/>
              </w:rPr>
            </w:pPr>
            <w:r w:rsidRPr="0044255E">
              <w:rPr>
                <w:rFonts w:asciiTheme="minorHAnsi" w:hAnsiTheme="minorHAnsi" w:cstheme="minorHAnsi"/>
                <w:color w:val="1F4E79" w:themeColor="accent1" w:themeShade="80"/>
                <w:sz w:val="22"/>
                <w:szCs w:val="22"/>
                <w:lang w:eastAsia="el-GR"/>
              </w:rPr>
              <w:t>–understand</w:t>
            </w:r>
            <w:r w:rsidR="00310247" w:rsidRPr="0044255E">
              <w:rPr>
                <w:rFonts w:asciiTheme="minorHAnsi" w:hAnsiTheme="minorHAnsi" w:cstheme="minorHAnsi"/>
                <w:color w:val="1F4E79" w:themeColor="accent1" w:themeShade="80"/>
                <w:sz w:val="22"/>
                <w:szCs w:val="22"/>
                <w:lang w:eastAsia="el-GR"/>
              </w:rPr>
              <w:t xml:space="preserve"> the main concepts and </w:t>
            </w:r>
            <w:proofErr w:type="spellStart"/>
            <w:r w:rsidR="00310247" w:rsidRPr="0044255E">
              <w:rPr>
                <w:rFonts w:asciiTheme="minorHAnsi" w:hAnsiTheme="minorHAnsi" w:cstheme="minorHAnsi"/>
                <w:color w:val="1F4E79" w:themeColor="accent1" w:themeShade="80"/>
                <w:sz w:val="22"/>
                <w:szCs w:val="22"/>
                <w:lang w:eastAsia="el-GR"/>
              </w:rPr>
              <w:t>methological</w:t>
            </w:r>
            <w:proofErr w:type="spellEnd"/>
            <w:r w:rsidR="00310247" w:rsidRPr="0044255E">
              <w:rPr>
                <w:rFonts w:asciiTheme="minorHAnsi" w:hAnsiTheme="minorHAnsi" w:cstheme="minorHAnsi"/>
                <w:color w:val="1F4E79" w:themeColor="accent1" w:themeShade="80"/>
                <w:sz w:val="22"/>
                <w:szCs w:val="22"/>
                <w:lang w:eastAsia="el-GR"/>
              </w:rPr>
              <w:t xml:space="preserve"> tools of </w:t>
            </w:r>
            <w:proofErr w:type="spellStart"/>
            <w:r w:rsidR="00310247" w:rsidRPr="0044255E">
              <w:rPr>
                <w:rFonts w:asciiTheme="minorHAnsi" w:hAnsiTheme="minorHAnsi" w:cstheme="minorHAnsi"/>
                <w:color w:val="1F4E79" w:themeColor="accent1" w:themeShade="80"/>
                <w:sz w:val="22"/>
                <w:szCs w:val="22"/>
                <w:lang w:eastAsia="el-GR"/>
              </w:rPr>
              <w:t>Textlinguistics</w:t>
            </w:r>
            <w:proofErr w:type="spellEnd"/>
          </w:p>
          <w:p w:rsidR="00AB29AF" w:rsidRPr="0044255E" w:rsidRDefault="00AB29AF" w:rsidP="00230AF8">
            <w:pPr>
              <w:widowControl w:val="0"/>
              <w:jc w:val="both"/>
              <w:rPr>
                <w:rFonts w:asciiTheme="minorHAnsi" w:hAnsiTheme="minorHAnsi" w:cstheme="minorHAnsi"/>
                <w:color w:val="1F4E79" w:themeColor="accent1" w:themeShade="80"/>
                <w:lang w:eastAsia="el-GR"/>
              </w:rPr>
            </w:pPr>
            <w:r w:rsidRPr="0044255E">
              <w:rPr>
                <w:rFonts w:asciiTheme="minorHAnsi" w:hAnsiTheme="minorHAnsi" w:cstheme="minorHAnsi"/>
                <w:color w:val="1F4E79" w:themeColor="accent1" w:themeShade="80"/>
                <w:sz w:val="22"/>
                <w:szCs w:val="22"/>
                <w:lang w:eastAsia="el-GR"/>
              </w:rPr>
              <w:t>–</w:t>
            </w:r>
            <w:r w:rsidR="00310247" w:rsidRPr="0044255E">
              <w:rPr>
                <w:rFonts w:asciiTheme="minorHAnsi" w:hAnsiTheme="minorHAnsi" w:cstheme="minorHAnsi"/>
                <w:color w:val="1F4E79" w:themeColor="accent1" w:themeShade="80"/>
                <w:sz w:val="22"/>
                <w:szCs w:val="22"/>
                <w:lang w:eastAsia="el-GR"/>
              </w:rPr>
              <w:t xml:space="preserve">approach oral, written and digital texts via the criteria of </w:t>
            </w:r>
            <w:proofErr w:type="spellStart"/>
            <w:r w:rsidR="00310247" w:rsidRPr="0044255E">
              <w:rPr>
                <w:rFonts w:asciiTheme="minorHAnsi" w:hAnsiTheme="minorHAnsi" w:cstheme="minorHAnsi"/>
                <w:color w:val="1F4E79" w:themeColor="accent1" w:themeShade="80"/>
                <w:sz w:val="22"/>
                <w:szCs w:val="22"/>
                <w:lang w:eastAsia="el-GR"/>
              </w:rPr>
              <w:t>textuality</w:t>
            </w:r>
            <w:proofErr w:type="spellEnd"/>
            <w:r w:rsidR="00310247" w:rsidRPr="0044255E">
              <w:rPr>
                <w:rFonts w:asciiTheme="minorHAnsi" w:hAnsiTheme="minorHAnsi" w:cstheme="minorHAnsi"/>
                <w:color w:val="1F4E79" w:themeColor="accent1" w:themeShade="80"/>
                <w:sz w:val="22"/>
                <w:szCs w:val="22"/>
                <w:lang w:eastAsia="el-GR"/>
              </w:rPr>
              <w:t xml:space="preserve"> </w:t>
            </w:r>
          </w:p>
          <w:p w:rsidR="00AB29AF" w:rsidRPr="0044255E" w:rsidRDefault="00AB29AF" w:rsidP="00230AF8">
            <w:pPr>
              <w:jc w:val="both"/>
              <w:rPr>
                <w:rFonts w:asciiTheme="minorHAnsi" w:hAnsiTheme="minorHAnsi" w:cstheme="minorHAnsi"/>
                <w:color w:val="1F4E79" w:themeColor="accent1" w:themeShade="80"/>
                <w:lang w:eastAsia="el-GR"/>
              </w:rPr>
            </w:pPr>
            <w:r w:rsidRPr="0044255E">
              <w:rPr>
                <w:rFonts w:asciiTheme="minorHAnsi" w:hAnsiTheme="minorHAnsi" w:cstheme="minorHAnsi"/>
                <w:color w:val="1F4E79" w:themeColor="accent1" w:themeShade="80"/>
                <w:sz w:val="22"/>
                <w:szCs w:val="22"/>
                <w:lang w:eastAsia="el-GR"/>
              </w:rPr>
              <w:t>–</w:t>
            </w:r>
            <w:r w:rsidR="00310247" w:rsidRPr="0044255E">
              <w:rPr>
                <w:rFonts w:asciiTheme="minorHAnsi" w:hAnsiTheme="minorHAnsi" w:cstheme="minorHAnsi"/>
                <w:color w:val="1F4E79" w:themeColor="accent1" w:themeShade="80"/>
                <w:sz w:val="22"/>
                <w:szCs w:val="22"/>
                <w:lang w:eastAsia="el-GR"/>
              </w:rPr>
              <w:t>expl</w:t>
            </w:r>
            <w:r w:rsidR="00EE52FD" w:rsidRPr="0044255E">
              <w:rPr>
                <w:rFonts w:asciiTheme="minorHAnsi" w:hAnsiTheme="minorHAnsi" w:cstheme="minorHAnsi"/>
                <w:color w:val="1F4E79" w:themeColor="accent1" w:themeShade="80"/>
                <w:sz w:val="22"/>
                <w:szCs w:val="22"/>
                <w:lang w:eastAsia="el-GR"/>
              </w:rPr>
              <w:t>ore and critically analyze representative texts</w:t>
            </w:r>
            <w:r w:rsidR="00310247" w:rsidRPr="0044255E">
              <w:rPr>
                <w:rFonts w:asciiTheme="minorHAnsi" w:hAnsiTheme="minorHAnsi" w:cstheme="minorHAnsi"/>
                <w:color w:val="1F4E79" w:themeColor="accent1" w:themeShade="80"/>
                <w:sz w:val="22"/>
                <w:szCs w:val="22"/>
                <w:lang w:eastAsia="el-GR"/>
              </w:rPr>
              <w:t xml:space="preserve"> from different genres, conversations, mass culture texts, political speech</w:t>
            </w:r>
            <w:r w:rsidR="00EE52FD" w:rsidRPr="0044255E">
              <w:rPr>
                <w:rFonts w:asciiTheme="minorHAnsi" w:hAnsiTheme="minorHAnsi" w:cstheme="minorHAnsi"/>
                <w:color w:val="1F4E79" w:themeColor="accent1" w:themeShade="80"/>
                <w:sz w:val="22"/>
                <w:szCs w:val="22"/>
                <w:lang w:eastAsia="el-GR"/>
              </w:rPr>
              <w:t xml:space="preserve"> etc.</w:t>
            </w:r>
          </w:p>
          <w:p w:rsidR="00310247" w:rsidRPr="0044255E" w:rsidRDefault="00AB29AF" w:rsidP="00EE52FD">
            <w:pPr>
              <w:jc w:val="both"/>
              <w:rPr>
                <w:rFonts w:asciiTheme="minorHAnsi" w:hAnsiTheme="minorHAnsi" w:cstheme="minorHAnsi"/>
                <w:color w:val="1F4E79" w:themeColor="accent1" w:themeShade="80"/>
                <w:lang w:eastAsia="el-GR"/>
              </w:rPr>
            </w:pPr>
            <w:r w:rsidRPr="0044255E">
              <w:rPr>
                <w:rFonts w:asciiTheme="minorHAnsi" w:hAnsiTheme="minorHAnsi" w:cstheme="minorHAnsi"/>
                <w:color w:val="1F4E79" w:themeColor="accent1" w:themeShade="80"/>
                <w:sz w:val="22"/>
                <w:szCs w:val="22"/>
                <w:lang w:eastAsia="el-GR"/>
              </w:rPr>
              <w:t>–</w:t>
            </w:r>
            <w:r w:rsidR="00EE52FD" w:rsidRPr="0044255E">
              <w:rPr>
                <w:rFonts w:asciiTheme="minorHAnsi" w:hAnsiTheme="minorHAnsi" w:cstheme="minorHAnsi"/>
                <w:color w:val="1F4E79" w:themeColor="accent1" w:themeShade="80"/>
                <w:sz w:val="22"/>
                <w:szCs w:val="22"/>
                <w:lang w:eastAsia="el-GR"/>
              </w:rPr>
              <w:t xml:space="preserve">perceive the interconnection between </w:t>
            </w:r>
            <w:proofErr w:type="spellStart"/>
            <w:r w:rsidR="00EE52FD" w:rsidRPr="0044255E">
              <w:rPr>
                <w:rFonts w:asciiTheme="minorHAnsi" w:hAnsiTheme="minorHAnsi" w:cstheme="minorHAnsi"/>
                <w:color w:val="1F4E79" w:themeColor="accent1" w:themeShade="80"/>
                <w:sz w:val="22"/>
                <w:szCs w:val="22"/>
                <w:lang w:eastAsia="el-GR"/>
              </w:rPr>
              <w:t>Textlinguistics</w:t>
            </w:r>
            <w:proofErr w:type="spellEnd"/>
            <w:r w:rsidR="00EE52FD" w:rsidRPr="0044255E">
              <w:rPr>
                <w:rFonts w:asciiTheme="minorHAnsi" w:hAnsiTheme="minorHAnsi" w:cstheme="minorHAnsi"/>
                <w:color w:val="1F4E79" w:themeColor="accent1" w:themeShade="80"/>
                <w:sz w:val="22"/>
                <w:szCs w:val="22"/>
                <w:lang w:eastAsia="el-GR"/>
              </w:rPr>
              <w:t>, Pragmatics and Discourse Analysis</w:t>
            </w:r>
          </w:p>
          <w:p w:rsidR="006A5903" w:rsidRPr="005171BF" w:rsidRDefault="006A5903" w:rsidP="006A5903">
            <w:pPr>
              <w:widowControl w:val="0"/>
              <w:autoSpaceDE w:val="0"/>
              <w:autoSpaceDN w:val="0"/>
              <w:adjustRightInd w:val="0"/>
              <w:rPr>
                <w:rFonts w:asciiTheme="minorHAnsi" w:eastAsia="Calibri" w:hAnsiTheme="minorHAnsi" w:cstheme="minorHAnsi"/>
                <w:b/>
                <w:color w:val="002060"/>
              </w:rPr>
            </w:pPr>
          </w:p>
          <w:p w:rsidR="00EE52FD" w:rsidRPr="005171BF" w:rsidRDefault="00EE52FD" w:rsidP="006A5903">
            <w:pPr>
              <w:widowControl w:val="0"/>
              <w:autoSpaceDE w:val="0"/>
              <w:autoSpaceDN w:val="0"/>
              <w:adjustRightInd w:val="0"/>
              <w:rPr>
                <w:rFonts w:asciiTheme="minorHAnsi" w:eastAsia="Calibri" w:hAnsiTheme="minorHAnsi" w:cstheme="minorHAnsi"/>
                <w:b/>
                <w:color w:val="002060"/>
              </w:rPr>
            </w:pPr>
          </w:p>
          <w:p w:rsidR="00EE52FD" w:rsidRPr="005171BF" w:rsidRDefault="00EE52FD" w:rsidP="006A5903">
            <w:pPr>
              <w:widowControl w:val="0"/>
              <w:autoSpaceDE w:val="0"/>
              <w:autoSpaceDN w:val="0"/>
              <w:adjustRightInd w:val="0"/>
              <w:rPr>
                <w:rFonts w:ascii="Calibri" w:eastAsia="Calibri" w:hAnsi="Calibri"/>
                <w:b/>
                <w:color w:val="002060"/>
              </w:rPr>
            </w:pPr>
          </w:p>
          <w:p w:rsidR="006A5903" w:rsidRPr="005171BF" w:rsidRDefault="006A5903" w:rsidP="006A5903">
            <w:pPr>
              <w:widowControl w:val="0"/>
              <w:autoSpaceDE w:val="0"/>
              <w:autoSpaceDN w:val="0"/>
              <w:adjustRightInd w:val="0"/>
              <w:rPr>
                <w:rFonts w:ascii="Calibri" w:eastAsia="Calibri" w:hAnsi="Calibri"/>
                <w:b/>
                <w:color w:val="002060"/>
              </w:rPr>
            </w:pPr>
          </w:p>
          <w:p w:rsidR="006A5903" w:rsidRPr="005171BF" w:rsidRDefault="006A5903" w:rsidP="006A5903">
            <w:pPr>
              <w:widowControl w:val="0"/>
              <w:autoSpaceDE w:val="0"/>
              <w:autoSpaceDN w:val="0"/>
              <w:adjustRightInd w:val="0"/>
              <w:spacing w:after="60"/>
              <w:rPr>
                <w:rFonts w:ascii="Calibri" w:hAnsi="Calibri" w:cs="Arial"/>
                <w:i/>
                <w:sz w:val="16"/>
                <w:szCs w:val="16"/>
              </w:rPr>
            </w:pPr>
          </w:p>
          <w:p w:rsidR="006A5903" w:rsidRPr="005171BF" w:rsidRDefault="006A5903" w:rsidP="006A5903">
            <w:pPr>
              <w:widowControl w:val="0"/>
              <w:autoSpaceDE w:val="0"/>
              <w:autoSpaceDN w:val="0"/>
              <w:adjustRightInd w:val="0"/>
              <w:spacing w:after="60"/>
              <w:rPr>
                <w:rFonts w:ascii="Calibri" w:hAnsi="Calibri" w:cs="Arial"/>
                <w:i/>
                <w:sz w:val="16"/>
                <w:szCs w:val="16"/>
              </w:rPr>
            </w:pPr>
          </w:p>
          <w:p w:rsidR="006A5903" w:rsidRPr="005171BF" w:rsidRDefault="006A5903" w:rsidP="006A5903">
            <w:pPr>
              <w:widowControl w:val="0"/>
              <w:autoSpaceDE w:val="0"/>
              <w:autoSpaceDN w:val="0"/>
              <w:adjustRightInd w:val="0"/>
              <w:spacing w:after="60"/>
              <w:rPr>
                <w:rFonts w:ascii="Calibri" w:hAnsi="Calibri" w:cs="Arial"/>
                <w:i/>
                <w:sz w:val="16"/>
                <w:szCs w:val="16"/>
              </w:rPr>
            </w:pPr>
          </w:p>
          <w:p w:rsidR="00CC1EC5" w:rsidRPr="005171BF" w:rsidRDefault="00CC1EC5" w:rsidP="00E30CBA">
            <w:pPr>
              <w:widowControl w:val="0"/>
              <w:autoSpaceDE w:val="0"/>
              <w:autoSpaceDN w:val="0"/>
              <w:adjustRightInd w:val="0"/>
              <w:spacing w:after="60"/>
              <w:rPr>
                <w:rFonts w:asciiTheme="majorHAnsi" w:hAnsiTheme="majorHAnsi" w:cs="Arial"/>
                <w:i/>
                <w:sz w:val="16"/>
                <w:szCs w:val="16"/>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602E46" w:rsidRDefault="006A5903" w:rsidP="006A5903">
            <w:pPr>
              <w:rPr>
                <w:rFonts w:ascii="Calibri" w:hAnsi="Calibri" w:cs="Arial"/>
                <w:color w:val="002060"/>
                <w:sz w:val="20"/>
                <w:szCs w:val="20"/>
              </w:rPr>
            </w:pPr>
          </w:p>
          <w:p w:rsidR="00602E46" w:rsidRPr="00B5035B" w:rsidRDefault="00602E46"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 xml:space="preserve">Search for, analysis and synthesis of data and information, with the use of the necessary technology </w:t>
            </w:r>
          </w:p>
          <w:p w:rsidR="00602E46" w:rsidRPr="00B5035B" w:rsidRDefault="00602E46"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 xml:space="preserve">Decision-making </w:t>
            </w:r>
          </w:p>
          <w:p w:rsidR="00602E46" w:rsidRPr="00B5035B" w:rsidRDefault="00602E46"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 xml:space="preserve">Working independently </w:t>
            </w:r>
          </w:p>
          <w:p w:rsidR="00602E46" w:rsidRPr="00B5035B" w:rsidRDefault="00602E46"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Team work</w:t>
            </w:r>
          </w:p>
          <w:p w:rsidR="00AB29AF" w:rsidRPr="00B5035B" w:rsidRDefault="00AB29AF"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 xml:space="preserve">Working in an international environment </w:t>
            </w:r>
          </w:p>
          <w:p w:rsidR="00AB29AF" w:rsidRPr="00B5035B" w:rsidRDefault="00AB29AF" w:rsidP="00230AF8">
            <w:pPr>
              <w:widowControl w:val="0"/>
              <w:autoSpaceDE w:val="0"/>
              <w:autoSpaceDN w:val="0"/>
              <w:adjustRightInd w:val="0"/>
              <w:rPr>
                <w:rFonts w:asciiTheme="minorHAnsi" w:hAnsiTheme="minorHAnsi" w:cs="Arial"/>
                <w:i/>
                <w:color w:val="1F4E79" w:themeColor="accent1" w:themeShade="80"/>
                <w:lang w:val="en-GB"/>
              </w:rPr>
            </w:pPr>
            <w:r w:rsidRPr="00B5035B">
              <w:rPr>
                <w:rFonts w:asciiTheme="minorHAnsi" w:hAnsiTheme="minorHAnsi" w:cs="Arial"/>
                <w:i/>
                <w:color w:val="1F4E79" w:themeColor="accent1" w:themeShade="80"/>
                <w:sz w:val="22"/>
                <w:szCs w:val="22"/>
                <w:lang w:val="en-GB"/>
              </w:rPr>
              <w:t xml:space="preserve">Working in an interdisciplinary environment </w:t>
            </w:r>
          </w:p>
          <w:p w:rsidR="006A5903" w:rsidRPr="00230AF8" w:rsidRDefault="006A5903" w:rsidP="00230AF8">
            <w:pPr>
              <w:widowControl w:val="0"/>
              <w:autoSpaceDE w:val="0"/>
              <w:autoSpaceDN w:val="0"/>
              <w:adjustRightInd w:val="0"/>
              <w:rPr>
                <w:rFonts w:asciiTheme="minorHAnsi" w:eastAsia="Calibri" w:hAnsiTheme="minorHAnsi"/>
                <w:color w:val="002060"/>
                <w:lang w:val="en-GB"/>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6A5903" w:rsidRPr="00AB29AF"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EE52FD" w:rsidRPr="00EE52FD" w:rsidRDefault="00EE52FD" w:rsidP="00EE52FD">
            <w:pPr>
              <w:jc w:val="both"/>
              <w:rPr>
                <w:rFonts w:ascii="Calibri" w:hAnsi="Calibri"/>
                <w:color w:val="1F4E79" w:themeColor="accent1" w:themeShade="80"/>
                <w:lang w:val="el-GR" w:eastAsia="el-GR"/>
              </w:rPr>
            </w:pPr>
            <w:r w:rsidRPr="00EE52FD">
              <w:rPr>
                <w:rFonts w:ascii="Calibri" w:hAnsi="Calibri"/>
                <w:color w:val="1F4E79" w:themeColor="accent1" w:themeShade="80"/>
                <w:sz w:val="22"/>
                <w:szCs w:val="22"/>
                <w:lang w:val="el-GR" w:eastAsia="el-GR"/>
              </w:rPr>
              <w:t>–</w:t>
            </w:r>
            <w:r w:rsidRPr="0044255E">
              <w:rPr>
                <w:rFonts w:ascii="Calibri" w:hAnsi="Calibri"/>
                <w:color w:val="1F4E79" w:themeColor="accent1" w:themeShade="80"/>
                <w:sz w:val="22"/>
                <w:szCs w:val="22"/>
                <w:lang w:eastAsia="el-GR"/>
              </w:rPr>
              <w:t>Text</w:t>
            </w:r>
            <w:r w:rsidRPr="00EE52FD">
              <w:rPr>
                <w:rFonts w:ascii="Calibri" w:hAnsi="Calibri"/>
                <w:color w:val="1F4E79" w:themeColor="accent1" w:themeShade="80"/>
                <w:sz w:val="22"/>
                <w:szCs w:val="22"/>
                <w:lang w:val="el-GR" w:eastAsia="el-GR"/>
              </w:rPr>
              <w:t>,</w:t>
            </w:r>
            <w:r w:rsidRPr="0044255E">
              <w:rPr>
                <w:rFonts w:ascii="Calibri" w:hAnsi="Calibri"/>
                <w:color w:val="1F4E79" w:themeColor="accent1" w:themeShade="80"/>
                <w:sz w:val="22"/>
                <w:szCs w:val="22"/>
                <w:lang w:val="el-GR" w:eastAsia="el-GR"/>
              </w:rPr>
              <w:t xml:space="preserve"> </w:t>
            </w:r>
            <w:r w:rsidRPr="0044255E">
              <w:rPr>
                <w:rFonts w:ascii="Calibri" w:hAnsi="Calibri"/>
                <w:color w:val="1F4E79" w:themeColor="accent1" w:themeShade="80"/>
                <w:sz w:val="22"/>
                <w:szCs w:val="22"/>
                <w:lang w:eastAsia="el-GR"/>
              </w:rPr>
              <w:t>utterance</w:t>
            </w:r>
            <w:r w:rsidRPr="0044255E">
              <w:rPr>
                <w:rFonts w:ascii="Calibri" w:hAnsi="Calibri"/>
                <w:color w:val="1F4E79" w:themeColor="accent1" w:themeShade="80"/>
                <w:sz w:val="22"/>
                <w:szCs w:val="22"/>
                <w:lang w:val="el-GR" w:eastAsia="el-GR"/>
              </w:rPr>
              <w:t xml:space="preserve">, </w:t>
            </w:r>
            <w:r w:rsidRPr="0044255E">
              <w:rPr>
                <w:rFonts w:ascii="Calibri" w:hAnsi="Calibri"/>
                <w:color w:val="1F4E79" w:themeColor="accent1" w:themeShade="80"/>
                <w:sz w:val="22"/>
                <w:szCs w:val="22"/>
                <w:lang w:eastAsia="el-GR"/>
              </w:rPr>
              <w:t>sentence,</w:t>
            </w:r>
            <w:r w:rsidRPr="00EE52FD">
              <w:rPr>
                <w:rFonts w:ascii="Calibri" w:hAnsi="Calibri"/>
                <w:color w:val="1F4E79" w:themeColor="accent1" w:themeShade="80"/>
                <w:sz w:val="22"/>
                <w:szCs w:val="22"/>
                <w:lang w:val="el-GR" w:eastAsia="el-GR"/>
              </w:rPr>
              <w:t xml:space="preserve"> </w:t>
            </w:r>
            <w:r w:rsidRPr="0044255E">
              <w:rPr>
                <w:rFonts w:ascii="Calibri" w:hAnsi="Calibri"/>
                <w:color w:val="1F4E79" w:themeColor="accent1" w:themeShade="80"/>
                <w:sz w:val="22"/>
                <w:szCs w:val="22"/>
                <w:lang w:eastAsia="el-GR"/>
              </w:rPr>
              <w:t>context</w:t>
            </w:r>
            <w:r w:rsidRPr="0044255E">
              <w:rPr>
                <w:rFonts w:ascii="Calibri" w:hAnsi="Calibri"/>
                <w:color w:val="1F4E79" w:themeColor="accent1" w:themeShade="80"/>
                <w:sz w:val="22"/>
                <w:szCs w:val="22"/>
                <w:lang w:val="el-GR" w:eastAsia="el-GR"/>
              </w:rPr>
              <w:t xml:space="preserve">. </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Pr="0044255E">
              <w:rPr>
                <w:rFonts w:ascii="Calibri" w:hAnsi="Calibri"/>
                <w:color w:val="1F4E79" w:themeColor="accent1" w:themeShade="80"/>
                <w:sz w:val="22"/>
                <w:szCs w:val="22"/>
                <w:lang w:eastAsia="el-GR"/>
              </w:rPr>
              <w:t>Differences between the oral and written mode</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Pr="0044255E">
              <w:rPr>
                <w:rFonts w:ascii="Calibri" w:hAnsi="Calibri"/>
                <w:color w:val="1F4E79" w:themeColor="accent1" w:themeShade="80"/>
                <w:sz w:val="22"/>
                <w:szCs w:val="22"/>
                <w:lang w:eastAsia="el-GR"/>
              </w:rPr>
              <w:t xml:space="preserve">The criteria for differentiating a text from a set of sentences: Cohesion, coherence, </w:t>
            </w:r>
            <w:proofErr w:type="spellStart"/>
            <w:r w:rsidRPr="0044255E">
              <w:rPr>
                <w:rFonts w:ascii="Calibri" w:hAnsi="Calibri"/>
                <w:color w:val="1F4E79" w:themeColor="accent1" w:themeShade="80"/>
                <w:sz w:val="22"/>
                <w:szCs w:val="22"/>
                <w:lang w:eastAsia="el-GR"/>
              </w:rPr>
              <w:t>informativity</w:t>
            </w:r>
            <w:proofErr w:type="spellEnd"/>
            <w:r w:rsidRPr="0044255E">
              <w:rPr>
                <w:rFonts w:ascii="Calibri" w:hAnsi="Calibri"/>
                <w:color w:val="1F4E79" w:themeColor="accent1" w:themeShade="80"/>
                <w:sz w:val="22"/>
                <w:szCs w:val="22"/>
                <w:lang w:eastAsia="el-GR"/>
              </w:rPr>
              <w:t xml:space="preserve">, intentionality, </w:t>
            </w:r>
            <w:proofErr w:type="spellStart"/>
            <w:r w:rsidRPr="0044255E">
              <w:rPr>
                <w:rFonts w:ascii="Calibri" w:hAnsi="Calibri"/>
                <w:color w:val="1F4E79" w:themeColor="accent1" w:themeShade="80"/>
                <w:sz w:val="22"/>
                <w:szCs w:val="22"/>
                <w:lang w:eastAsia="el-GR"/>
              </w:rPr>
              <w:t>situationality</w:t>
            </w:r>
            <w:proofErr w:type="spellEnd"/>
            <w:r w:rsidRPr="0044255E">
              <w:rPr>
                <w:rFonts w:ascii="Calibri" w:hAnsi="Calibri"/>
                <w:color w:val="1F4E79" w:themeColor="accent1" w:themeShade="80"/>
                <w:sz w:val="22"/>
                <w:szCs w:val="22"/>
                <w:lang w:eastAsia="el-GR"/>
              </w:rPr>
              <w:t>, intertextuality, acceptability</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Pr="0044255E">
              <w:rPr>
                <w:rFonts w:ascii="Calibri" w:hAnsi="Calibri"/>
                <w:color w:val="1F4E79" w:themeColor="accent1" w:themeShade="80"/>
                <w:sz w:val="22"/>
                <w:szCs w:val="22"/>
                <w:lang w:eastAsia="el-GR"/>
              </w:rPr>
              <w:t>Cohesive ties, co-</w:t>
            </w:r>
            <w:proofErr w:type="spellStart"/>
            <w:r w:rsidRPr="0044255E">
              <w:rPr>
                <w:rFonts w:ascii="Calibri" w:hAnsi="Calibri"/>
                <w:color w:val="1F4E79" w:themeColor="accent1" w:themeShade="80"/>
                <w:sz w:val="22"/>
                <w:szCs w:val="22"/>
                <w:lang w:eastAsia="el-GR"/>
              </w:rPr>
              <w:t>referentiality</w:t>
            </w:r>
            <w:proofErr w:type="spellEnd"/>
            <w:r w:rsidRPr="0044255E">
              <w:rPr>
                <w:rFonts w:ascii="Calibri" w:hAnsi="Calibri"/>
                <w:color w:val="1F4E79" w:themeColor="accent1" w:themeShade="80"/>
                <w:sz w:val="22"/>
                <w:szCs w:val="22"/>
                <w:lang w:eastAsia="el-GR"/>
              </w:rPr>
              <w:t xml:space="preserve">, co-classification, anaphora, </w:t>
            </w:r>
            <w:proofErr w:type="spellStart"/>
            <w:r w:rsidRPr="0044255E">
              <w:rPr>
                <w:rFonts w:ascii="Calibri" w:hAnsi="Calibri"/>
                <w:color w:val="1F4E79" w:themeColor="accent1" w:themeShade="80"/>
                <w:sz w:val="22"/>
                <w:szCs w:val="22"/>
                <w:lang w:eastAsia="el-GR"/>
              </w:rPr>
              <w:t>cataphora</w:t>
            </w:r>
            <w:proofErr w:type="spellEnd"/>
            <w:r w:rsidRPr="0044255E">
              <w:rPr>
                <w:rFonts w:ascii="Calibri" w:hAnsi="Calibri"/>
                <w:color w:val="1F4E79" w:themeColor="accent1" w:themeShade="80"/>
                <w:sz w:val="22"/>
                <w:szCs w:val="22"/>
                <w:lang w:eastAsia="el-GR"/>
              </w:rPr>
              <w:t xml:space="preserve">, co-extension, </w:t>
            </w:r>
            <w:proofErr w:type="spellStart"/>
            <w:r w:rsidRPr="0044255E">
              <w:rPr>
                <w:rFonts w:ascii="Calibri" w:hAnsi="Calibri"/>
                <w:color w:val="1F4E79" w:themeColor="accent1" w:themeShade="80"/>
                <w:sz w:val="22"/>
                <w:szCs w:val="22"/>
                <w:lang w:eastAsia="el-GR"/>
              </w:rPr>
              <w:t>endophoric</w:t>
            </w:r>
            <w:proofErr w:type="spellEnd"/>
            <w:r w:rsidRPr="0044255E">
              <w:rPr>
                <w:rFonts w:ascii="Calibri" w:hAnsi="Calibri"/>
                <w:color w:val="1F4E79" w:themeColor="accent1" w:themeShade="80"/>
                <w:sz w:val="22"/>
                <w:szCs w:val="22"/>
                <w:lang w:eastAsia="el-GR"/>
              </w:rPr>
              <w:t xml:space="preserve"> ties, </w:t>
            </w:r>
            <w:proofErr w:type="spellStart"/>
            <w:r w:rsidRPr="0044255E">
              <w:rPr>
                <w:rFonts w:ascii="Calibri" w:hAnsi="Calibri"/>
                <w:color w:val="1F4E79" w:themeColor="accent1" w:themeShade="80"/>
                <w:sz w:val="22"/>
                <w:szCs w:val="22"/>
                <w:lang w:eastAsia="el-GR"/>
              </w:rPr>
              <w:t>exophoric</w:t>
            </w:r>
            <w:proofErr w:type="spellEnd"/>
            <w:r w:rsidRPr="0044255E">
              <w:rPr>
                <w:rFonts w:ascii="Calibri" w:hAnsi="Calibri"/>
                <w:color w:val="1F4E79" w:themeColor="accent1" w:themeShade="80"/>
                <w:sz w:val="22"/>
                <w:szCs w:val="22"/>
                <w:lang w:eastAsia="el-GR"/>
              </w:rPr>
              <w:t xml:space="preserve"> reference, topic-comment structure</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Pr="0044255E">
              <w:rPr>
                <w:rFonts w:ascii="Calibri" w:hAnsi="Calibri"/>
                <w:color w:val="1F4E79" w:themeColor="accent1" w:themeShade="80"/>
                <w:sz w:val="22"/>
                <w:szCs w:val="22"/>
                <w:lang w:eastAsia="el-GR"/>
              </w:rPr>
              <w:t>G</w:t>
            </w:r>
            <w:r w:rsidRPr="00EE52FD">
              <w:rPr>
                <w:rFonts w:ascii="Calibri" w:hAnsi="Calibri"/>
                <w:color w:val="1F4E79" w:themeColor="accent1" w:themeShade="80"/>
                <w:sz w:val="22"/>
                <w:szCs w:val="22"/>
                <w:lang w:eastAsia="el-GR"/>
              </w:rPr>
              <w:t>enre</w:t>
            </w:r>
            <w:r w:rsidRPr="0044255E">
              <w:rPr>
                <w:rFonts w:ascii="Calibri" w:hAnsi="Calibri"/>
                <w:color w:val="1F4E79" w:themeColor="accent1" w:themeShade="80"/>
                <w:sz w:val="22"/>
                <w:szCs w:val="22"/>
                <w:lang w:eastAsia="el-GR"/>
              </w:rPr>
              <w:t>s, narrative vs non narrative</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Pr="0044255E">
              <w:rPr>
                <w:rFonts w:ascii="Calibri" w:hAnsi="Calibri"/>
                <w:color w:val="1F4E79" w:themeColor="accent1" w:themeShade="80"/>
                <w:sz w:val="22"/>
                <w:szCs w:val="22"/>
                <w:lang w:eastAsia="el-GR"/>
              </w:rPr>
              <w:t>Pragmatic markers, discourse markers</w:t>
            </w:r>
          </w:p>
          <w:p w:rsidR="00EE52FD" w:rsidRPr="00EE52FD"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0044255E" w:rsidRPr="0044255E">
              <w:rPr>
                <w:rFonts w:ascii="Calibri" w:hAnsi="Calibri"/>
                <w:color w:val="1F4E79" w:themeColor="accent1" w:themeShade="80"/>
                <w:sz w:val="22"/>
                <w:szCs w:val="22"/>
                <w:lang w:eastAsia="el-GR"/>
              </w:rPr>
              <w:t>Discourse and S</w:t>
            </w:r>
            <w:r w:rsidRPr="0044255E">
              <w:rPr>
                <w:rFonts w:ascii="Calibri" w:hAnsi="Calibri"/>
                <w:color w:val="1F4E79" w:themeColor="accent1" w:themeShade="80"/>
                <w:sz w:val="22"/>
                <w:szCs w:val="22"/>
                <w:lang w:eastAsia="el-GR"/>
              </w:rPr>
              <w:t>ocial media</w:t>
            </w:r>
            <w:r w:rsidR="0044255E" w:rsidRPr="0044255E">
              <w:rPr>
                <w:rFonts w:ascii="Calibri" w:hAnsi="Calibri"/>
                <w:color w:val="1F4E79" w:themeColor="accent1" w:themeShade="80"/>
                <w:sz w:val="22"/>
                <w:szCs w:val="22"/>
                <w:lang w:eastAsia="el-GR"/>
              </w:rPr>
              <w:t xml:space="preserve"> </w:t>
            </w:r>
          </w:p>
          <w:p w:rsidR="0044255E" w:rsidRPr="0044255E" w:rsidRDefault="00EE52FD" w:rsidP="00EE52FD">
            <w:pPr>
              <w:jc w:val="both"/>
              <w:rPr>
                <w:rFonts w:ascii="Calibri" w:hAnsi="Calibri"/>
                <w:color w:val="1F4E79" w:themeColor="accent1" w:themeShade="80"/>
                <w:lang w:eastAsia="el-GR"/>
              </w:rPr>
            </w:pPr>
            <w:r w:rsidRPr="00EE52FD">
              <w:rPr>
                <w:rFonts w:ascii="Calibri" w:hAnsi="Calibri"/>
                <w:color w:val="1F4E79" w:themeColor="accent1" w:themeShade="80"/>
                <w:sz w:val="22"/>
                <w:szCs w:val="22"/>
                <w:lang w:eastAsia="el-GR"/>
              </w:rPr>
              <w:t>–</w:t>
            </w:r>
            <w:r w:rsidR="0044255E" w:rsidRPr="0044255E">
              <w:rPr>
                <w:rFonts w:ascii="Calibri" w:hAnsi="Calibri"/>
                <w:color w:val="1F4E79" w:themeColor="accent1" w:themeShade="80"/>
                <w:sz w:val="22"/>
                <w:szCs w:val="22"/>
                <w:lang w:eastAsia="el-GR"/>
              </w:rPr>
              <w:t>Discourse and Mass C</w:t>
            </w:r>
            <w:r w:rsidRPr="0044255E">
              <w:rPr>
                <w:rFonts w:ascii="Calibri" w:hAnsi="Calibri"/>
                <w:color w:val="1F4E79" w:themeColor="accent1" w:themeShade="80"/>
                <w:sz w:val="22"/>
                <w:szCs w:val="22"/>
                <w:lang w:eastAsia="el-GR"/>
              </w:rPr>
              <w:t>ultu</w:t>
            </w:r>
            <w:r w:rsidR="0044255E" w:rsidRPr="0044255E">
              <w:rPr>
                <w:rFonts w:ascii="Calibri" w:hAnsi="Calibri"/>
                <w:color w:val="1F4E79" w:themeColor="accent1" w:themeShade="80"/>
                <w:sz w:val="22"/>
                <w:szCs w:val="22"/>
                <w:lang w:eastAsia="el-GR"/>
              </w:rPr>
              <w:t xml:space="preserve">re </w:t>
            </w:r>
          </w:p>
          <w:p w:rsidR="00C36535" w:rsidRPr="0044255E" w:rsidRDefault="00EE52FD" w:rsidP="0044255E">
            <w:pPr>
              <w:rPr>
                <w:rFonts w:ascii="Calibri" w:eastAsia="Calibri" w:hAnsi="Calibri"/>
                <w:iCs/>
                <w:color w:val="1F4E79" w:themeColor="accent1" w:themeShade="80"/>
              </w:rPr>
            </w:pPr>
            <w:r w:rsidRPr="0044255E">
              <w:rPr>
                <w:rFonts w:ascii="Calibri" w:hAnsi="Calibri"/>
                <w:color w:val="1F4E79" w:themeColor="accent1" w:themeShade="80"/>
                <w:sz w:val="22"/>
                <w:szCs w:val="22"/>
                <w:lang w:eastAsia="el-GR"/>
              </w:rPr>
              <w:t>–</w:t>
            </w:r>
            <w:r w:rsidR="0044255E" w:rsidRPr="0044255E">
              <w:rPr>
                <w:rFonts w:ascii="Calibri" w:hAnsi="Calibri"/>
                <w:color w:val="1F4E79" w:themeColor="accent1" w:themeShade="80"/>
                <w:sz w:val="22"/>
                <w:szCs w:val="22"/>
                <w:lang w:eastAsia="el-GR"/>
              </w:rPr>
              <w:t>Political Discourse Analysis</w:t>
            </w:r>
          </w:p>
          <w:p w:rsidR="00C36535" w:rsidRPr="0044255E" w:rsidRDefault="00C36535" w:rsidP="00230AF8">
            <w:pPr>
              <w:jc w:val="both"/>
              <w:rPr>
                <w:rFonts w:asciiTheme="minorHAnsi" w:eastAsia="Calibri" w:hAnsiTheme="minorHAnsi"/>
                <w:iCs/>
                <w:color w:val="1F4E79" w:themeColor="accent1" w:themeShade="80"/>
              </w:rPr>
            </w:pPr>
          </w:p>
          <w:p w:rsidR="00CC1EC5" w:rsidRPr="00310247" w:rsidRDefault="00CC1EC5" w:rsidP="00EE52FD">
            <w:pPr>
              <w:jc w:val="both"/>
              <w:rPr>
                <w:rFonts w:asciiTheme="majorHAnsi" w:hAnsiTheme="majorHAnsi" w:cs="Arial"/>
                <w:color w:val="002060"/>
                <w:sz w:val="20"/>
                <w:szCs w:val="20"/>
              </w:rPr>
            </w:pP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02E4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lastRenderedPageBreak/>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02E46" w:rsidRDefault="00602E46" w:rsidP="00E30CBA">
            <w:pPr>
              <w:rPr>
                <w:rFonts w:asciiTheme="majorHAnsi" w:hAnsiTheme="majorHAnsi" w:cs="Arial"/>
                <w:b/>
                <w:color w:val="002060"/>
                <w:lang w:val="en-GB"/>
              </w:rPr>
            </w:pPr>
            <w:r w:rsidRPr="00602E46">
              <w:rPr>
                <w:rFonts w:asciiTheme="majorHAnsi" w:hAnsiTheme="majorHAnsi" w:cs="Arial"/>
                <w:i/>
                <w:sz w:val="22"/>
                <w:szCs w:val="22"/>
                <w:lang w:val="en-GB"/>
              </w:rPr>
              <w:t>Use of ICT in teaching</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C2F5B" w:rsidRPr="006403CB" w:rsidTr="004C01F9">
              <w:tc>
                <w:tcPr>
                  <w:tcW w:w="2467" w:type="dxa"/>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Lectures</w:t>
                  </w:r>
                </w:p>
              </w:tc>
              <w:tc>
                <w:tcPr>
                  <w:tcW w:w="2468" w:type="dxa"/>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39 hours (1.56 ECTS)</w:t>
                  </w:r>
                </w:p>
              </w:tc>
            </w:tr>
            <w:tr w:rsidR="00EC2F5B" w:rsidRPr="006403CB" w:rsidTr="004C01F9">
              <w:tc>
                <w:tcPr>
                  <w:tcW w:w="2467" w:type="dxa"/>
                  <w:shd w:val="clear" w:color="auto" w:fill="auto"/>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Personal study</w:t>
                  </w:r>
                </w:p>
              </w:tc>
              <w:tc>
                <w:tcPr>
                  <w:tcW w:w="2468" w:type="dxa"/>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83 hours (3.32 ECTS)</w:t>
                  </w:r>
                </w:p>
              </w:tc>
            </w:tr>
            <w:tr w:rsidR="00EC2F5B" w:rsidRPr="006403CB" w:rsidTr="004C01F9">
              <w:tc>
                <w:tcPr>
                  <w:tcW w:w="2467" w:type="dxa"/>
                  <w:shd w:val="clear" w:color="auto" w:fill="auto"/>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End of semester exam</w:t>
                  </w:r>
                </w:p>
              </w:tc>
              <w:tc>
                <w:tcPr>
                  <w:tcW w:w="2468" w:type="dxa"/>
                  <w:vAlign w:val="center"/>
                </w:tcPr>
                <w:p w:rsidR="00EC2F5B" w:rsidRPr="0044255E" w:rsidRDefault="00EC2F5B" w:rsidP="00925DC7">
                  <w:pPr>
                    <w:rPr>
                      <w:color w:val="1F4E79" w:themeColor="accent1" w:themeShade="80"/>
                      <w:lang w:eastAsia="el-GR"/>
                    </w:rPr>
                  </w:pPr>
                  <w:r w:rsidRPr="0044255E">
                    <w:rPr>
                      <w:color w:val="1F4E79" w:themeColor="accent1" w:themeShade="80"/>
                      <w:lang w:eastAsia="el-GR"/>
                    </w:rPr>
                    <w:t>3 hours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44255E" w:rsidRDefault="00EC2F5B" w:rsidP="00E30CBA">
                  <w:pPr>
                    <w:jc w:val="center"/>
                    <w:rPr>
                      <w:rFonts w:asciiTheme="majorHAnsi" w:hAnsiTheme="majorHAnsi" w:cs="Arial"/>
                      <w:b/>
                      <w:i/>
                      <w:color w:val="1F4E79" w:themeColor="accent1" w:themeShade="80"/>
                      <w:sz w:val="20"/>
                      <w:szCs w:val="20"/>
                      <w:lang w:val="en-GB"/>
                    </w:rPr>
                  </w:pPr>
                  <w:r w:rsidRPr="0044255E">
                    <w:rPr>
                      <w:b/>
                      <w:bCs/>
                      <w:i/>
                      <w:iCs/>
                      <w:color w:val="1F4E79" w:themeColor="accent1" w:themeShade="80"/>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602E46" w:rsidRPr="00230AF8" w:rsidRDefault="00602E46" w:rsidP="00602E46">
            <w:pPr>
              <w:rPr>
                <w:rFonts w:asciiTheme="minorHAnsi" w:hAnsiTheme="minorHAnsi" w:cs="Arial"/>
                <w:i/>
                <w:color w:val="1F4E79" w:themeColor="accent1" w:themeShade="80"/>
                <w:lang w:val="en-GB"/>
              </w:rPr>
            </w:pPr>
            <w:r w:rsidRPr="00230AF8">
              <w:rPr>
                <w:rFonts w:asciiTheme="minorHAnsi" w:hAnsiTheme="minorHAnsi" w:cs="Arial"/>
                <w:i/>
                <w:color w:val="1F4E79" w:themeColor="accent1" w:themeShade="80"/>
                <w:sz w:val="22"/>
                <w:szCs w:val="22"/>
                <w:lang w:val="en-GB"/>
              </w:rPr>
              <w:t>Language of evaluation: Greek</w:t>
            </w:r>
          </w:p>
          <w:p w:rsidR="00602E46" w:rsidRPr="00230AF8" w:rsidRDefault="00602E46" w:rsidP="00602E46">
            <w:pPr>
              <w:rPr>
                <w:rFonts w:asciiTheme="minorHAnsi" w:hAnsiTheme="minorHAnsi" w:cs="Arial"/>
                <w:i/>
                <w:color w:val="1F4E79" w:themeColor="accent1" w:themeShade="80"/>
                <w:lang w:val="en-GB"/>
              </w:rPr>
            </w:pPr>
          </w:p>
          <w:p w:rsidR="00602E46" w:rsidRPr="00230AF8" w:rsidRDefault="00602E46" w:rsidP="00602E46">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methods of evaluation: short-answer questions, open-ended questions</w:t>
            </w:r>
            <w:r w:rsidR="0044255E">
              <w:rPr>
                <w:rFonts w:asciiTheme="minorHAnsi" w:hAnsiTheme="minorHAnsi" w:cs="Arial"/>
                <w:i/>
                <w:color w:val="1F4E79" w:themeColor="accent1" w:themeShade="80"/>
                <w:sz w:val="22"/>
                <w:szCs w:val="22"/>
                <w:lang w:val="en-GB"/>
              </w:rPr>
              <w:t>,</w:t>
            </w:r>
          </w:p>
          <w:p w:rsidR="00602E46" w:rsidRPr="00230AF8" w:rsidRDefault="00602E46" w:rsidP="00602E46">
            <w:pPr>
              <w:rPr>
                <w:rFonts w:asciiTheme="minorHAnsi" w:hAnsiTheme="minorHAnsi" w:cs="Arial"/>
                <w:color w:val="002060"/>
                <w:lang w:val="en-GB"/>
              </w:rPr>
            </w:pPr>
          </w:p>
          <w:p w:rsidR="00CC1EC5" w:rsidRPr="00230AF8" w:rsidRDefault="00CC1EC5" w:rsidP="00E30CBA">
            <w:pPr>
              <w:rPr>
                <w:rFonts w:asciiTheme="minorHAnsi" w:hAnsiTheme="min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l-GR"/>
              </w:rPr>
            </w:pPr>
            <w:r w:rsidRPr="006403CB">
              <w:rPr>
                <w:rFonts w:asciiTheme="majorHAnsi" w:hAnsiTheme="majorHAnsi" w:cs="Arial"/>
                <w:i/>
                <w:sz w:val="16"/>
                <w:szCs w:val="16"/>
                <w:lang w:val="en-GB"/>
              </w:rPr>
              <w:t>- Suggested bibliography:</w:t>
            </w:r>
          </w:p>
          <w:p w:rsidR="00230AF8" w:rsidRPr="00230AF8" w:rsidRDefault="00230AF8" w:rsidP="00E30CBA">
            <w:pPr>
              <w:jc w:val="both"/>
              <w:rPr>
                <w:rFonts w:asciiTheme="majorHAnsi" w:hAnsiTheme="majorHAnsi" w:cs="Arial"/>
                <w:i/>
                <w:sz w:val="16"/>
                <w:szCs w:val="16"/>
                <w:lang w:val="el-GR"/>
              </w:rPr>
            </w:pPr>
          </w:p>
          <w:p w:rsidR="0044255E" w:rsidRPr="0044255E" w:rsidRDefault="0044255E" w:rsidP="0044255E">
            <w:pPr>
              <w:pStyle w:val="FootnoteText"/>
              <w:widowControl w:val="0"/>
              <w:ind w:left="567" w:hanging="567"/>
              <w:jc w:val="both"/>
              <w:rPr>
                <w:rFonts w:asciiTheme="minorHAnsi" w:hAnsiTheme="minorHAnsi"/>
                <w:color w:val="1F4E79" w:themeColor="accent1" w:themeShade="80"/>
                <w:sz w:val="22"/>
                <w:szCs w:val="22"/>
                <w:lang w:val="el-GR"/>
              </w:rPr>
            </w:pPr>
            <w:r w:rsidRPr="0044255E">
              <w:rPr>
                <w:rFonts w:asciiTheme="minorHAnsi" w:hAnsiTheme="minorHAnsi"/>
                <w:color w:val="1F4E79" w:themeColor="accent1" w:themeShade="80"/>
                <w:sz w:val="22"/>
                <w:szCs w:val="22"/>
                <w:lang w:val="el-GR"/>
              </w:rPr>
              <w:t xml:space="preserve">Αρχάκης, Α. 2005. </w:t>
            </w:r>
            <w:r w:rsidRPr="0044255E">
              <w:rPr>
                <w:rFonts w:asciiTheme="minorHAnsi" w:hAnsiTheme="minorHAnsi"/>
                <w:i/>
                <w:iCs/>
                <w:color w:val="1F4E79" w:themeColor="accent1" w:themeShade="80"/>
                <w:sz w:val="22"/>
                <w:szCs w:val="22"/>
                <w:lang w:val="el-GR"/>
              </w:rPr>
              <w:t>Γλωσσική διδασκαλία και σύσταση των κειμένων</w:t>
            </w:r>
            <w:r w:rsidRPr="0044255E">
              <w:rPr>
                <w:rFonts w:asciiTheme="minorHAnsi" w:hAnsiTheme="minorHAnsi"/>
                <w:color w:val="1F4E79" w:themeColor="accent1" w:themeShade="80"/>
                <w:sz w:val="22"/>
                <w:szCs w:val="22"/>
                <w:lang w:val="el-GR"/>
              </w:rPr>
              <w:t xml:space="preserve">. Αθήνα: εκδ. Πατάκη. </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l-GR"/>
              </w:rPr>
            </w:pPr>
            <w:r w:rsidRPr="0044255E">
              <w:rPr>
                <w:rFonts w:asciiTheme="minorHAnsi" w:hAnsiTheme="minorHAnsi"/>
                <w:color w:val="1F4E79" w:themeColor="accent1" w:themeShade="80"/>
                <w:sz w:val="22"/>
                <w:szCs w:val="22"/>
                <w:lang w:val="el-GR"/>
              </w:rPr>
              <w:t xml:space="preserve">Αρχάκης, Α. &amp; Τσάκωνα, Β. 2011. </w:t>
            </w:r>
            <w:r w:rsidRPr="0044255E">
              <w:rPr>
                <w:rFonts w:asciiTheme="minorHAnsi" w:hAnsiTheme="minorHAnsi"/>
                <w:i/>
                <w:iCs/>
                <w:color w:val="1F4E79" w:themeColor="accent1" w:themeShade="80"/>
                <w:sz w:val="22"/>
                <w:szCs w:val="22"/>
                <w:lang w:val="el-GR"/>
              </w:rPr>
              <w:t>Ταυτότητες, Αφηγήσεις και Γλωσσική Εκπαίδευση</w:t>
            </w:r>
            <w:r w:rsidRPr="0044255E">
              <w:rPr>
                <w:rFonts w:asciiTheme="minorHAnsi" w:hAnsiTheme="minorHAnsi"/>
                <w:color w:val="1F4E79" w:themeColor="accent1" w:themeShade="80"/>
                <w:sz w:val="22"/>
                <w:szCs w:val="22"/>
                <w:lang w:val="el-GR"/>
              </w:rPr>
              <w:t>. Αθήνα: Πατάκης.</w:t>
            </w:r>
          </w:p>
          <w:p w:rsidR="00252FE8" w:rsidRPr="0044255E" w:rsidRDefault="0044255E" w:rsidP="0044255E">
            <w:pPr>
              <w:pStyle w:val="FootnoteText"/>
              <w:widowControl w:val="0"/>
              <w:ind w:left="567" w:hanging="567"/>
              <w:rPr>
                <w:rFonts w:asciiTheme="minorHAnsi" w:hAnsiTheme="minorHAnsi"/>
                <w:color w:val="1F4E79" w:themeColor="accent1" w:themeShade="80"/>
                <w:sz w:val="22"/>
                <w:szCs w:val="22"/>
                <w:lang w:val="el-GR"/>
              </w:rPr>
            </w:pPr>
            <w:r w:rsidRPr="0044255E">
              <w:rPr>
                <w:rFonts w:asciiTheme="minorHAnsi" w:hAnsiTheme="minorHAnsi"/>
                <w:color w:val="1F4E79" w:themeColor="accent1" w:themeShade="80"/>
                <w:sz w:val="22"/>
                <w:szCs w:val="22"/>
                <w:lang w:val="el-GR"/>
              </w:rPr>
              <w:t>Γεωργακοπούλου, Α. &amp; Γούτσος, Δ. 2011. Κείμενο και επικοινωνία. Αθήνα: εκδ. Πατάκη [ανανεωμένη έκδοση, πρώτη έκδοση 1999].</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l-GR"/>
              </w:rPr>
            </w:pPr>
            <w:r w:rsidRPr="0044255E">
              <w:rPr>
                <w:rFonts w:asciiTheme="minorHAnsi" w:hAnsiTheme="minorHAnsi"/>
                <w:color w:val="1F4E79" w:themeColor="accent1" w:themeShade="80"/>
                <w:sz w:val="22"/>
                <w:szCs w:val="22"/>
                <w:lang w:val="el-GR"/>
              </w:rPr>
              <w:t>Γούτσος, Δ. 2012. Γλώσσα – Κείμενο, ποικιλία, σύστημα. Αθήνα: εκδ. Κριτική.</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l-GR"/>
              </w:rPr>
            </w:pPr>
            <w:r w:rsidRPr="0044255E">
              <w:rPr>
                <w:rFonts w:asciiTheme="minorHAnsi" w:hAnsiTheme="minorHAnsi"/>
                <w:color w:val="1F4E79" w:themeColor="accent1" w:themeShade="80"/>
                <w:sz w:val="22"/>
                <w:szCs w:val="22"/>
                <w:lang w:val="el-GR"/>
              </w:rPr>
              <w:t>Πολίτης Π. 2014. «Ο λόγος των ΜΜΕ». Στο Μ. Γεωργαλίδου, Μ. Σηφιανού &amp; Β. Τσάκωνα (επιμ.), Ανάλυση λόγου: Θεωρία και εφαρμογές. Αθήνα: Νήσος, 479-520.</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r w:rsidRPr="0044255E">
              <w:rPr>
                <w:rFonts w:asciiTheme="minorHAnsi" w:hAnsiTheme="minorHAnsi"/>
                <w:color w:val="1F4E79" w:themeColor="accent1" w:themeShade="80"/>
                <w:sz w:val="22"/>
                <w:szCs w:val="22"/>
                <w:lang w:val="el-GR"/>
              </w:rPr>
              <w:t>Τσάκωνα, Β. 2014. Ανάλυση πολιτικού λόγου. Στο Μ. Γεωργαλίδου, Μ. Σηφιανού &amp; Β. Τσάκωνα (επιμ), Ανάλυση Λόγου: Θεωρία και Εφαρμογές, σελ. 521-551. Αθήνα</w:t>
            </w:r>
            <w:r w:rsidRPr="0044255E">
              <w:rPr>
                <w:rFonts w:asciiTheme="minorHAnsi" w:hAnsiTheme="minorHAnsi"/>
                <w:color w:val="1F4E79" w:themeColor="accent1" w:themeShade="80"/>
                <w:sz w:val="22"/>
                <w:szCs w:val="22"/>
              </w:rPr>
              <w:t xml:space="preserve">: </w:t>
            </w:r>
            <w:r w:rsidRPr="0044255E">
              <w:rPr>
                <w:rFonts w:asciiTheme="minorHAnsi" w:hAnsiTheme="minorHAnsi"/>
                <w:color w:val="1F4E79" w:themeColor="accent1" w:themeShade="80"/>
                <w:sz w:val="22"/>
                <w:szCs w:val="22"/>
                <w:lang w:val="el-GR"/>
              </w:rPr>
              <w:t>Νήσος</w:t>
            </w:r>
            <w:r w:rsidRPr="0044255E">
              <w:rPr>
                <w:rFonts w:asciiTheme="minorHAnsi" w:hAnsiTheme="minorHAnsi"/>
                <w:color w:val="1F4E79" w:themeColor="accent1" w:themeShade="80"/>
                <w:sz w:val="22"/>
                <w:szCs w:val="22"/>
              </w:rPr>
              <w:t>.</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proofErr w:type="spellStart"/>
            <w:r w:rsidRPr="0044255E">
              <w:rPr>
                <w:rFonts w:asciiTheme="minorHAnsi" w:hAnsiTheme="minorHAnsi"/>
                <w:color w:val="1F4E79" w:themeColor="accent1" w:themeShade="80"/>
                <w:sz w:val="22"/>
                <w:szCs w:val="22"/>
              </w:rPr>
              <w:t>Beaugrande</w:t>
            </w:r>
            <w:proofErr w:type="spellEnd"/>
            <w:r w:rsidRPr="0044255E">
              <w:rPr>
                <w:rFonts w:asciiTheme="minorHAnsi" w:hAnsiTheme="minorHAnsi"/>
                <w:color w:val="1F4E79" w:themeColor="accent1" w:themeShade="80"/>
                <w:sz w:val="22"/>
                <w:szCs w:val="22"/>
              </w:rPr>
              <w:t xml:space="preserve">, R. &amp; Dressler, W. 1981. Introduction to </w:t>
            </w:r>
            <w:proofErr w:type="spellStart"/>
            <w:r w:rsidRPr="0044255E">
              <w:rPr>
                <w:rFonts w:asciiTheme="minorHAnsi" w:hAnsiTheme="minorHAnsi"/>
                <w:color w:val="1F4E79" w:themeColor="accent1" w:themeShade="80"/>
                <w:sz w:val="22"/>
                <w:szCs w:val="22"/>
              </w:rPr>
              <w:t>Textlinguistics</w:t>
            </w:r>
            <w:proofErr w:type="spellEnd"/>
            <w:r w:rsidRPr="0044255E">
              <w:rPr>
                <w:rFonts w:asciiTheme="minorHAnsi" w:hAnsiTheme="minorHAnsi"/>
                <w:color w:val="1F4E79" w:themeColor="accent1" w:themeShade="80"/>
                <w:sz w:val="22"/>
                <w:szCs w:val="22"/>
              </w:rPr>
              <w:t>. London: Longman.</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r w:rsidRPr="0044255E">
              <w:rPr>
                <w:rFonts w:asciiTheme="minorHAnsi" w:hAnsiTheme="minorHAnsi"/>
                <w:color w:val="1F4E79" w:themeColor="accent1" w:themeShade="80"/>
                <w:sz w:val="22"/>
                <w:szCs w:val="22"/>
              </w:rPr>
              <w:lastRenderedPageBreak/>
              <w:t>Bell, A. 1991. The language of news media. Oxford: Blackwell.</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r w:rsidRPr="0044255E">
              <w:rPr>
                <w:rFonts w:asciiTheme="minorHAnsi" w:hAnsiTheme="minorHAnsi"/>
                <w:color w:val="1F4E79" w:themeColor="accent1" w:themeShade="80"/>
                <w:sz w:val="22"/>
                <w:szCs w:val="22"/>
              </w:rPr>
              <w:t xml:space="preserve">De </w:t>
            </w:r>
            <w:proofErr w:type="spellStart"/>
            <w:r w:rsidRPr="0044255E">
              <w:rPr>
                <w:rFonts w:asciiTheme="minorHAnsi" w:hAnsiTheme="minorHAnsi"/>
                <w:color w:val="1F4E79" w:themeColor="accent1" w:themeShade="80"/>
                <w:sz w:val="22"/>
                <w:szCs w:val="22"/>
              </w:rPr>
              <w:t>Fina</w:t>
            </w:r>
            <w:proofErr w:type="spellEnd"/>
            <w:r w:rsidRPr="0044255E">
              <w:rPr>
                <w:rFonts w:asciiTheme="minorHAnsi" w:hAnsiTheme="minorHAnsi"/>
                <w:color w:val="1F4E79" w:themeColor="accent1" w:themeShade="80"/>
                <w:sz w:val="22"/>
                <w:szCs w:val="22"/>
              </w:rPr>
              <w:t xml:space="preserve">, A. &amp; </w:t>
            </w:r>
            <w:proofErr w:type="spellStart"/>
            <w:r w:rsidRPr="0044255E">
              <w:rPr>
                <w:rFonts w:asciiTheme="minorHAnsi" w:hAnsiTheme="minorHAnsi"/>
                <w:color w:val="1F4E79" w:themeColor="accent1" w:themeShade="80"/>
                <w:sz w:val="22"/>
                <w:szCs w:val="22"/>
              </w:rPr>
              <w:t>Georgakopoulou</w:t>
            </w:r>
            <w:proofErr w:type="spellEnd"/>
            <w:r w:rsidRPr="0044255E">
              <w:rPr>
                <w:rFonts w:asciiTheme="minorHAnsi" w:hAnsiTheme="minorHAnsi"/>
                <w:color w:val="1F4E79" w:themeColor="accent1" w:themeShade="80"/>
                <w:sz w:val="22"/>
                <w:szCs w:val="22"/>
              </w:rPr>
              <w:t>, A. 2012. Analyzing Narrative: Discourse and Sociolinguistic Perspectives. Cambridge: Cambridge University Press.</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proofErr w:type="spellStart"/>
            <w:r w:rsidRPr="0044255E">
              <w:rPr>
                <w:rFonts w:asciiTheme="minorHAnsi" w:hAnsiTheme="minorHAnsi"/>
                <w:color w:val="1F4E79" w:themeColor="accent1" w:themeShade="80"/>
                <w:sz w:val="22"/>
                <w:szCs w:val="22"/>
              </w:rPr>
              <w:t>Fairclough</w:t>
            </w:r>
            <w:proofErr w:type="spellEnd"/>
            <w:r w:rsidRPr="0044255E">
              <w:rPr>
                <w:rFonts w:asciiTheme="minorHAnsi" w:hAnsiTheme="minorHAnsi"/>
                <w:color w:val="1F4E79" w:themeColor="accent1" w:themeShade="80"/>
                <w:sz w:val="22"/>
                <w:szCs w:val="22"/>
              </w:rPr>
              <w:t xml:space="preserve"> N. 2003. </w:t>
            </w:r>
            <w:proofErr w:type="spellStart"/>
            <w:r w:rsidRPr="0044255E">
              <w:rPr>
                <w:rFonts w:asciiTheme="minorHAnsi" w:hAnsiTheme="minorHAnsi"/>
                <w:color w:val="1F4E79" w:themeColor="accent1" w:themeShade="80"/>
                <w:sz w:val="22"/>
                <w:szCs w:val="22"/>
              </w:rPr>
              <w:t>Analysing</w:t>
            </w:r>
            <w:proofErr w:type="spellEnd"/>
            <w:r w:rsidRPr="0044255E">
              <w:rPr>
                <w:rFonts w:asciiTheme="minorHAnsi" w:hAnsiTheme="minorHAnsi"/>
                <w:color w:val="1F4E79" w:themeColor="accent1" w:themeShade="80"/>
                <w:sz w:val="22"/>
                <w:szCs w:val="22"/>
              </w:rPr>
              <w:t xml:space="preserve"> Discourse: Textual Analysis for Social Research. London &amp; New York: Routledge.</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r w:rsidRPr="0044255E">
              <w:rPr>
                <w:rFonts w:asciiTheme="minorHAnsi" w:hAnsiTheme="minorHAnsi"/>
                <w:color w:val="1F4E79" w:themeColor="accent1" w:themeShade="80"/>
                <w:sz w:val="22"/>
                <w:szCs w:val="22"/>
              </w:rPr>
              <w:t xml:space="preserve">Jones, R.H., </w:t>
            </w:r>
            <w:proofErr w:type="spellStart"/>
            <w:r w:rsidRPr="0044255E">
              <w:rPr>
                <w:rFonts w:asciiTheme="minorHAnsi" w:hAnsiTheme="minorHAnsi"/>
                <w:color w:val="1F4E79" w:themeColor="accent1" w:themeShade="80"/>
                <w:sz w:val="22"/>
                <w:szCs w:val="22"/>
              </w:rPr>
              <w:t>Chik</w:t>
            </w:r>
            <w:proofErr w:type="spellEnd"/>
            <w:r w:rsidRPr="0044255E">
              <w:rPr>
                <w:rFonts w:asciiTheme="minorHAnsi" w:hAnsiTheme="minorHAnsi"/>
                <w:color w:val="1F4E79" w:themeColor="accent1" w:themeShade="80"/>
                <w:sz w:val="22"/>
                <w:szCs w:val="22"/>
              </w:rPr>
              <w:t xml:space="preserve">, A., &amp; </w:t>
            </w:r>
            <w:proofErr w:type="spellStart"/>
            <w:r w:rsidRPr="0044255E">
              <w:rPr>
                <w:rFonts w:asciiTheme="minorHAnsi" w:hAnsiTheme="minorHAnsi"/>
                <w:color w:val="1F4E79" w:themeColor="accent1" w:themeShade="80"/>
                <w:sz w:val="22"/>
                <w:szCs w:val="22"/>
              </w:rPr>
              <w:t>Hafner</w:t>
            </w:r>
            <w:proofErr w:type="spellEnd"/>
            <w:r w:rsidRPr="0044255E">
              <w:rPr>
                <w:rFonts w:asciiTheme="minorHAnsi" w:hAnsiTheme="minorHAnsi"/>
                <w:color w:val="1F4E79" w:themeColor="accent1" w:themeShade="80"/>
                <w:sz w:val="22"/>
                <w:szCs w:val="22"/>
              </w:rPr>
              <w:t>, C.A. (</w:t>
            </w:r>
            <w:r w:rsidRPr="0044255E">
              <w:rPr>
                <w:rFonts w:asciiTheme="minorHAnsi" w:hAnsiTheme="minorHAnsi"/>
                <w:color w:val="1F4E79" w:themeColor="accent1" w:themeShade="80"/>
                <w:sz w:val="22"/>
                <w:szCs w:val="22"/>
                <w:lang w:val="el-GR"/>
              </w:rPr>
              <w:t>επιμ</w:t>
            </w:r>
            <w:r w:rsidRPr="0044255E">
              <w:rPr>
                <w:rFonts w:asciiTheme="minorHAnsi" w:hAnsiTheme="minorHAnsi"/>
                <w:color w:val="1F4E79" w:themeColor="accent1" w:themeShade="80"/>
                <w:sz w:val="22"/>
                <w:szCs w:val="22"/>
              </w:rPr>
              <w:t>.) 2015. Discourse and digital practices: doing discourse analysis in the digital age. London: Routledge.</w:t>
            </w:r>
          </w:p>
          <w:p w:rsidR="0044255E" w:rsidRDefault="0044255E" w:rsidP="0044255E">
            <w:pPr>
              <w:pStyle w:val="FootnoteText"/>
              <w:widowControl w:val="0"/>
              <w:ind w:left="567" w:hanging="567"/>
              <w:rPr>
                <w:rFonts w:asciiTheme="minorHAnsi" w:hAnsiTheme="minorHAnsi"/>
                <w:color w:val="1F4E79" w:themeColor="accent1" w:themeShade="80"/>
                <w:sz w:val="22"/>
                <w:szCs w:val="22"/>
              </w:rPr>
            </w:pPr>
            <w:proofErr w:type="spellStart"/>
            <w:r w:rsidRPr="0044255E">
              <w:rPr>
                <w:rFonts w:asciiTheme="minorHAnsi" w:hAnsiTheme="minorHAnsi"/>
                <w:color w:val="1F4E79" w:themeColor="accent1" w:themeShade="80"/>
                <w:sz w:val="22"/>
                <w:szCs w:val="22"/>
              </w:rPr>
              <w:t>Seargeant</w:t>
            </w:r>
            <w:proofErr w:type="spellEnd"/>
            <w:r w:rsidRPr="0044255E">
              <w:rPr>
                <w:rFonts w:asciiTheme="minorHAnsi" w:hAnsiTheme="minorHAnsi"/>
                <w:color w:val="1F4E79" w:themeColor="accent1" w:themeShade="80"/>
                <w:sz w:val="22"/>
                <w:szCs w:val="22"/>
              </w:rPr>
              <w:t xml:space="preserve">, P., &amp; </w:t>
            </w:r>
            <w:proofErr w:type="spellStart"/>
            <w:r w:rsidRPr="0044255E">
              <w:rPr>
                <w:rFonts w:asciiTheme="minorHAnsi" w:hAnsiTheme="minorHAnsi"/>
                <w:color w:val="1F4E79" w:themeColor="accent1" w:themeShade="80"/>
                <w:sz w:val="22"/>
                <w:szCs w:val="22"/>
              </w:rPr>
              <w:t>Tagg</w:t>
            </w:r>
            <w:proofErr w:type="spellEnd"/>
            <w:r w:rsidRPr="0044255E">
              <w:rPr>
                <w:rFonts w:asciiTheme="minorHAnsi" w:hAnsiTheme="minorHAnsi"/>
                <w:color w:val="1F4E79" w:themeColor="accent1" w:themeShade="80"/>
                <w:sz w:val="22"/>
                <w:szCs w:val="22"/>
              </w:rPr>
              <w:t>, C. (</w:t>
            </w:r>
            <w:r w:rsidRPr="0044255E">
              <w:rPr>
                <w:rFonts w:asciiTheme="minorHAnsi" w:hAnsiTheme="minorHAnsi"/>
                <w:color w:val="1F4E79" w:themeColor="accent1" w:themeShade="80"/>
                <w:sz w:val="22"/>
                <w:szCs w:val="22"/>
                <w:lang w:val="el-GR"/>
              </w:rPr>
              <w:t>επιμ</w:t>
            </w:r>
            <w:r w:rsidRPr="0044255E">
              <w:rPr>
                <w:rFonts w:asciiTheme="minorHAnsi" w:hAnsiTheme="minorHAnsi"/>
                <w:color w:val="1F4E79" w:themeColor="accent1" w:themeShade="80"/>
                <w:sz w:val="22"/>
                <w:szCs w:val="22"/>
              </w:rPr>
              <w:t>.) 2014. The language of social media: Identity and community on the internet. New York: Palgrave.</w:t>
            </w:r>
          </w:p>
          <w:p w:rsidR="005171BF" w:rsidRPr="0044255E" w:rsidRDefault="005171BF" w:rsidP="0044255E">
            <w:pPr>
              <w:pStyle w:val="FootnoteText"/>
              <w:widowControl w:val="0"/>
              <w:ind w:left="567" w:hanging="567"/>
              <w:rPr>
                <w:rFonts w:asciiTheme="minorHAnsi" w:hAnsiTheme="minorHAnsi"/>
                <w:color w:val="1F4E79" w:themeColor="accent1" w:themeShade="80"/>
                <w:sz w:val="22"/>
                <w:szCs w:val="22"/>
              </w:rPr>
            </w:pPr>
          </w:p>
          <w:p w:rsidR="0044255E" w:rsidRPr="005171BF" w:rsidRDefault="005171BF" w:rsidP="0044255E">
            <w:pPr>
              <w:pStyle w:val="FootnoteText"/>
              <w:widowControl w:val="0"/>
              <w:ind w:left="567" w:hanging="567"/>
              <w:rPr>
                <w:rFonts w:asciiTheme="minorHAnsi" w:hAnsiTheme="minorHAnsi"/>
                <w:i/>
                <w:color w:val="1F4E79" w:themeColor="accent1" w:themeShade="80"/>
                <w:sz w:val="22"/>
                <w:szCs w:val="22"/>
                <w:lang w:val="el-GR"/>
              </w:rPr>
            </w:pPr>
            <w:r>
              <w:rPr>
                <w:rFonts w:asciiTheme="minorHAnsi" w:hAnsiTheme="minorHAnsi"/>
                <w:i/>
                <w:color w:val="1F4E79" w:themeColor="accent1" w:themeShade="80"/>
                <w:sz w:val="22"/>
                <w:szCs w:val="22"/>
              </w:rPr>
              <w:t>-</w:t>
            </w:r>
            <w:r w:rsidRPr="005171BF">
              <w:rPr>
                <w:rFonts w:asciiTheme="minorHAnsi" w:hAnsiTheme="minorHAnsi"/>
                <w:i/>
                <w:color w:val="1F4E79" w:themeColor="accent1" w:themeShade="80"/>
                <w:sz w:val="22"/>
                <w:szCs w:val="22"/>
              </w:rPr>
              <w:t>Related academic journals:</w:t>
            </w:r>
            <w:bookmarkStart w:id="0" w:name="_GoBack"/>
            <w:bookmarkEnd w:id="0"/>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rPr>
            </w:pP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n-GB"/>
              </w:rPr>
            </w:pPr>
            <w:r w:rsidRPr="0044255E">
              <w:rPr>
                <w:rFonts w:asciiTheme="minorHAnsi" w:hAnsiTheme="minorHAnsi"/>
                <w:color w:val="1F4E79" w:themeColor="accent1" w:themeShade="80"/>
                <w:sz w:val="22"/>
                <w:szCs w:val="22"/>
                <w:lang w:val="en-GB"/>
              </w:rPr>
              <w:t>Discourse &amp; Society</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n-GB"/>
              </w:rPr>
            </w:pPr>
            <w:r w:rsidRPr="0044255E">
              <w:rPr>
                <w:rFonts w:asciiTheme="minorHAnsi" w:hAnsiTheme="minorHAnsi"/>
                <w:color w:val="1F4E79" w:themeColor="accent1" w:themeShade="80"/>
                <w:sz w:val="22"/>
                <w:szCs w:val="22"/>
                <w:lang w:val="en-GB"/>
              </w:rPr>
              <w:t>Discourse, Context and Media</w:t>
            </w:r>
          </w:p>
          <w:p w:rsidR="0044255E" w:rsidRPr="0044255E" w:rsidRDefault="0044255E" w:rsidP="0044255E">
            <w:pPr>
              <w:pStyle w:val="FootnoteText"/>
              <w:widowControl w:val="0"/>
              <w:ind w:left="567" w:hanging="567"/>
              <w:rPr>
                <w:rFonts w:asciiTheme="minorHAnsi" w:hAnsiTheme="minorHAnsi"/>
                <w:color w:val="1F4E79" w:themeColor="accent1" w:themeShade="80"/>
                <w:sz w:val="22"/>
                <w:szCs w:val="22"/>
                <w:lang w:val="en-GB"/>
              </w:rPr>
            </w:pPr>
            <w:r w:rsidRPr="0044255E">
              <w:rPr>
                <w:rFonts w:asciiTheme="minorHAnsi" w:hAnsiTheme="minorHAnsi"/>
                <w:color w:val="1F4E79" w:themeColor="accent1" w:themeShade="80"/>
                <w:sz w:val="22"/>
                <w:szCs w:val="22"/>
                <w:lang w:val="en-GB"/>
              </w:rPr>
              <w:t>Narrative Inquiry</w:t>
            </w:r>
          </w:p>
          <w:p w:rsidR="00CC1EC5" w:rsidRPr="0044255E" w:rsidRDefault="0044255E" w:rsidP="0044255E">
            <w:pPr>
              <w:pStyle w:val="FootnoteText"/>
              <w:widowControl w:val="0"/>
              <w:ind w:left="567" w:hanging="567"/>
              <w:jc w:val="both"/>
              <w:rPr>
                <w:rFonts w:asciiTheme="minorHAnsi" w:hAnsiTheme="minorHAnsi"/>
                <w:color w:val="1F4E79" w:themeColor="accent1" w:themeShade="80"/>
                <w:sz w:val="22"/>
                <w:szCs w:val="22"/>
              </w:rPr>
            </w:pPr>
            <w:r w:rsidRPr="0044255E">
              <w:rPr>
                <w:rFonts w:asciiTheme="minorHAnsi" w:hAnsiTheme="minorHAnsi"/>
                <w:color w:val="1F4E79" w:themeColor="accent1" w:themeShade="80"/>
                <w:sz w:val="22"/>
                <w:szCs w:val="22"/>
                <w:lang w:val="en-GB"/>
              </w:rPr>
              <w:t>Text  &amp; Talk</w:t>
            </w:r>
          </w:p>
        </w:tc>
      </w:tr>
    </w:tbl>
    <w:p w:rsidR="00B22020" w:rsidRDefault="00B22020"/>
    <w:sectPr w:rsidR="00B22020"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8542B85"/>
    <w:multiLevelType w:val="hybridMultilevel"/>
    <w:tmpl w:val="5F629852"/>
    <w:lvl w:ilvl="0" w:tplc="5FB63E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1EC5"/>
    <w:rsid w:val="001A7AFC"/>
    <w:rsid w:val="00230AF8"/>
    <w:rsid w:val="00310247"/>
    <w:rsid w:val="0044255E"/>
    <w:rsid w:val="005171BF"/>
    <w:rsid w:val="005B5E07"/>
    <w:rsid w:val="00602E46"/>
    <w:rsid w:val="006A5903"/>
    <w:rsid w:val="007226CF"/>
    <w:rsid w:val="007233D0"/>
    <w:rsid w:val="008254CA"/>
    <w:rsid w:val="008865E5"/>
    <w:rsid w:val="008A48F2"/>
    <w:rsid w:val="00A27137"/>
    <w:rsid w:val="00A771EB"/>
    <w:rsid w:val="00AB29AF"/>
    <w:rsid w:val="00B22020"/>
    <w:rsid w:val="00B5035B"/>
    <w:rsid w:val="00B70874"/>
    <w:rsid w:val="00C36535"/>
    <w:rsid w:val="00CC1EC5"/>
    <w:rsid w:val="00CE2D73"/>
    <w:rsid w:val="00EC2F5B"/>
    <w:rsid w:val="00EE52FD"/>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9A9"/>
  <w15:docId w15:val="{27594A6D-0ABA-4629-BED6-C04FBC35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B29AF"/>
    <w:pPr>
      <w:spacing w:before="100" w:beforeAutospacing="1" w:after="100" w:afterAutospacing="1"/>
      <w:outlineLvl w:val="0"/>
    </w:pPr>
    <w:rPr>
      <w:b/>
      <w:bCs/>
      <w:kern w:val="36"/>
      <w:sz w:val="48"/>
      <w:szCs w:val="48"/>
      <w:lang w:val="el-GR" w:eastAsia="el-GR"/>
    </w:rPr>
  </w:style>
  <w:style w:type="paragraph" w:styleId="Heading3">
    <w:name w:val="heading 3"/>
    <w:basedOn w:val="Normal"/>
    <w:next w:val="Normal"/>
    <w:link w:val="Heading3Char"/>
    <w:uiPriority w:val="9"/>
    <w:semiHidden/>
    <w:unhideWhenUsed/>
    <w:qFormat/>
    <w:rsid w:val="0044255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paragraph" w:styleId="FootnoteText">
    <w:name w:val="footnote text"/>
    <w:basedOn w:val="Normal"/>
    <w:link w:val="FootnoteTextChar"/>
    <w:rsid w:val="00AB29AF"/>
    <w:rPr>
      <w:sz w:val="20"/>
      <w:szCs w:val="20"/>
    </w:rPr>
  </w:style>
  <w:style w:type="character" w:customStyle="1" w:styleId="FootnoteTextChar">
    <w:name w:val="Footnote Text Char"/>
    <w:basedOn w:val="DefaultParagraphFont"/>
    <w:link w:val="FootnoteText"/>
    <w:rsid w:val="00AB29A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B29AF"/>
    <w:rPr>
      <w:color w:val="0000FF"/>
      <w:u w:val="single"/>
    </w:rPr>
  </w:style>
  <w:style w:type="character" w:customStyle="1" w:styleId="Heading1Char">
    <w:name w:val="Heading 1 Char"/>
    <w:basedOn w:val="DefaultParagraphFont"/>
    <w:link w:val="Heading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DefaultParagraphFont"/>
    <w:rsid w:val="00AB29AF"/>
  </w:style>
  <w:style w:type="character" w:customStyle="1" w:styleId="eissn">
    <w:name w:val="eissn"/>
    <w:basedOn w:val="DefaultParagraphFont"/>
    <w:rsid w:val="00AB29AF"/>
  </w:style>
  <w:style w:type="character" w:customStyle="1" w:styleId="titleheading6">
    <w:name w:val="titleheading6"/>
    <w:basedOn w:val="DefaultParagraphFont"/>
    <w:rsid w:val="00AB29AF"/>
  </w:style>
  <w:style w:type="character" w:customStyle="1" w:styleId="Heading3Char">
    <w:name w:val="Heading 3 Char"/>
    <w:basedOn w:val="DefaultParagraphFont"/>
    <w:link w:val="Heading3"/>
    <w:uiPriority w:val="9"/>
    <w:semiHidden/>
    <w:rsid w:val="0044255E"/>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Rania</cp:lastModifiedBy>
  <cp:revision>11</cp:revision>
  <dcterms:created xsi:type="dcterms:W3CDTF">2017-03-09T12:36:00Z</dcterms:created>
  <dcterms:modified xsi:type="dcterms:W3CDTF">2017-09-14T11:11:00Z</dcterms:modified>
</cp:coreProperties>
</file>