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1113"/>
        <w:gridCol w:w="1273"/>
        <w:gridCol w:w="1198"/>
        <w:gridCol w:w="342"/>
        <w:gridCol w:w="1229"/>
      </w:tblGrid>
      <w:tr w:rsidR="00CC1EC5" w:rsidRPr="006403CB" w:rsidTr="007314D7">
        <w:tc>
          <w:tcPr>
            <w:tcW w:w="3141"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155" w:type="dxa"/>
            <w:gridSpan w:val="5"/>
          </w:tcPr>
          <w:p w:rsidR="00CC1EC5" w:rsidRPr="007314D7" w:rsidRDefault="007314D7" w:rsidP="00E30CBA">
            <w:pPr>
              <w:rPr>
                <w:rFonts w:asciiTheme="minorHAnsi" w:hAnsiTheme="minorHAnsi" w:cstheme="minorHAnsi"/>
                <w:sz w:val="20"/>
                <w:szCs w:val="20"/>
              </w:rPr>
            </w:pPr>
            <w:r>
              <w:rPr>
                <w:rFonts w:asciiTheme="minorHAnsi" w:hAnsiTheme="minorHAnsi" w:cstheme="minorHAnsi"/>
                <w:sz w:val="20"/>
                <w:szCs w:val="20"/>
              </w:rPr>
              <w:t>HUMANITIES</w:t>
            </w:r>
          </w:p>
        </w:tc>
      </w:tr>
      <w:tr w:rsidR="00CC1EC5" w:rsidRPr="006403CB" w:rsidTr="007314D7">
        <w:tc>
          <w:tcPr>
            <w:tcW w:w="3141"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155" w:type="dxa"/>
            <w:gridSpan w:val="5"/>
          </w:tcPr>
          <w:p w:rsidR="00CC1EC5" w:rsidRPr="006403CB" w:rsidRDefault="007314D7" w:rsidP="00E30CBA">
            <w:pPr>
              <w:rPr>
                <w:rFonts w:asciiTheme="majorHAnsi" w:hAnsiTheme="majorHAnsi" w:cs="Arial"/>
                <w:color w:val="002060"/>
                <w:sz w:val="20"/>
                <w:szCs w:val="20"/>
                <w:lang w:val="en-GB"/>
              </w:rPr>
            </w:pPr>
            <w:r>
              <w:rPr>
                <w:rFonts w:asciiTheme="minorHAnsi" w:hAnsiTheme="minorHAnsi" w:cstheme="minorHAnsi"/>
                <w:sz w:val="20"/>
                <w:szCs w:val="20"/>
              </w:rPr>
              <w:t>DEPARTMENT OF MEDITERRANEAN STUDIES</w:t>
            </w:r>
          </w:p>
        </w:tc>
      </w:tr>
      <w:tr w:rsidR="00CC1EC5" w:rsidRPr="006403CB" w:rsidTr="007314D7">
        <w:tc>
          <w:tcPr>
            <w:tcW w:w="3141"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155" w:type="dxa"/>
            <w:gridSpan w:val="5"/>
          </w:tcPr>
          <w:p w:rsidR="00CC1EC5" w:rsidRPr="006403CB" w:rsidRDefault="007314D7" w:rsidP="00E30CBA">
            <w:pPr>
              <w:rPr>
                <w:rFonts w:asciiTheme="majorHAnsi" w:hAnsiTheme="majorHAnsi" w:cs="Arial"/>
                <w:color w:val="002060"/>
                <w:sz w:val="20"/>
                <w:szCs w:val="20"/>
                <w:lang w:val="en-GB"/>
              </w:rPr>
            </w:pPr>
            <w:r>
              <w:rPr>
                <w:rFonts w:asciiTheme="minorHAnsi" w:hAnsiTheme="minorHAnsi" w:cstheme="minorHAnsi"/>
                <w:sz w:val="20"/>
                <w:szCs w:val="20"/>
              </w:rPr>
              <w:t>UNDERGRADUATE</w:t>
            </w:r>
          </w:p>
        </w:tc>
      </w:tr>
      <w:tr w:rsidR="00CC1EC5" w:rsidRPr="006403CB" w:rsidTr="007314D7">
        <w:tc>
          <w:tcPr>
            <w:tcW w:w="3141"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13" w:type="dxa"/>
          </w:tcPr>
          <w:p w:rsidR="00026A2F" w:rsidRPr="00A72ABD" w:rsidRDefault="00A72ABD" w:rsidP="00026A2F">
            <w:pPr>
              <w:rPr>
                <w:rFonts w:ascii="Calibri" w:hAnsi="Calibri" w:cs="Calibri"/>
                <w:sz w:val="20"/>
                <w:szCs w:val="20"/>
                <w:lang w:val="el-GR"/>
              </w:rPr>
            </w:pPr>
            <w:r>
              <w:rPr>
                <w:rFonts w:ascii="Calibri" w:hAnsi="Calibri" w:cs="Calibri"/>
                <w:sz w:val="20"/>
                <w:szCs w:val="20"/>
                <w:lang w:val="el-GR"/>
              </w:rPr>
              <w:t>ΓΥΕ-35</w:t>
            </w:r>
          </w:p>
          <w:p w:rsidR="00CC1EC5" w:rsidRPr="000879B8" w:rsidRDefault="00CC1EC5" w:rsidP="000879B8">
            <w:pPr>
              <w:rPr>
                <w:rFonts w:asciiTheme="minorHAnsi" w:hAnsiTheme="minorHAnsi" w:cstheme="minorHAnsi"/>
                <w:sz w:val="20"/>
                <w:szCs w:val="20"/>
                <w:lang w:val="el-GR"/>
              </w:rPr>
            </w:pPr>
          </w:p>
        </w:tc>
        <w:tc>
          <w:tcPr>
            <w:tcW w:w="2471"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71" w:type="dxa"/>
            <w:gridSpan w:val="2"/>
          </w:tcPr>
          <w:p w:rsidR="00CC1EC5" w:rsidRPr="00FA428A" w:rsidRDefault="00FA428A" w:rsidP="00E30CBA">
            <w:pPr>
              <w:rPr>
                <w:rFonts w:asciiTheme="majorHAnsi" w:hAnsiTheme="majorHAnsi" w:cs="Arial"/>
                <w:sz w:val="20"/>
                <w:szCs w:val="20"/>
              </w:rPr>
            </w:pPr>
            <w:r>
              <w:rPr>
                <w:rFonts w:asciiTheme="majorHAnsi" w:hAnsiTheme="majorHAnsi" w:cs="Arial"/>
                <w:sz w:val="20"/>
                <w:szCs w:val="20"/>
              </w:rPr>
              <w:t>8</w:t>
            </w:r>
            <w:bookmarkStart w:id="0" w:name="_GoBack"/>
            <w:bookmarkEnd w:id="0"/>
          </w:p>
        </w:tc>
      </w:tr>
      <w:tr w:rsidR="00CC1EC5" w:rsidRPr="006403CB" w:rsidTr="007314D7">
        <w:trPr>
          <w:trHeight w:val="375"/>
        </w:trPr>
        <w:tc>
          <w:tcPr>
            <w:tcW w:w="3141"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155" w:type="dxa"/>
            <w:gridSpan w:val="5"/>
            <w:vAlign w:val="center"/>
          </w:tcPr>
          <w:p w:rsidR="00CC1EC5" w:rsidRPr="00A72ABD" w:rsidRDefault="00A72ABD" w:rsidP="00E30CBA">
            <w:pPr>
              <w:rPr>
                <w:rFonts w:asciiTheme="minorHAnsi" w:hAnsiTheme="minorHAnsi" w:cs="Arial"/>
                <w:sz w:val="20"/>
                <w:szCs w:val="20"/>
              </w:rPr>
            </w:pPr>
            <w:r>
              <w:rPr>
                <w:rFonts w:asciiTheme="minorHAnsi" w:hAnsiTheme="minorHAnsi" w:cs="Arial"/>
                <w:sz w:val="20"/>
                <w:szCs w:val="20"/>
              </w:rPr>
              <w:t>TOPICS IN SEMANTICS</w:t>
            </w:r>
          </w:p>
        </w:tc>
      </w:tr>
      <w:tr w:rsidR="00CC1EC5" w:rsidRPr="006403CB" w:rsidTr="007314D7">
        <w:trPr>
          <w:trHeight w:val="196"/>
        </w:trPr>
        <w:tc>
          <w:tcPr>
            <w:tcW w:w="5527"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0"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29"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7314D7">
        <w:trPr>
          <w:trHeight w:val="194"/>
        </w:trPr>
        <w:tc>
          <w:tcPr>
            <w:tcW w:w="5527" w:type="dxa"/>
            <w:gridSpan w:val="3"/>
          </w:tcPr>
          <w:p w:rsidR="00CC1EC5" w:rsidRPr="006403CB" w:rsidRDefault="00CC1EC5" w:rsidP="00E30CBA">
            <w:pPr>
              <w:jc w:val="right"/>
              <w:rPr>
                <w:rFonts w:asciiTheme="majorHAnsi" w:hAnsiTheme="majorHAnsi" w:cs="Arial"/>
                <w:color w:val="002060"/>
                <w:sz w:val="20"/>
                <w:szCs w:val="20"/>
                <w:lang w:val="en-GB"/>
              </w:rPr>
            </w:pPr>
          </w:p>
        </w:tc>
        <w:tc>
          <w:tcPr>
            <w:tcW w:w="1540" w:type="dxa"/>
            <w:gridSpan w:val="2"/>
          </w:tcPr>
          <w:p w:rsidR="00CC1EC5" w:rsidRPr="006403CB" w:rsidRDefault="007314D7"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29" w:type="dxa"/>
          </w:tcPr>
          <w:p w:rsidR="00CC1EC5" w:rsidRPr="006403CB" w:rsidRDefault="007314D7"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5</w:t>
            </w:r>
          </w:p>
        </w:tc>
      </w:tr>
      <w:tr w:rsidR="00CC1EC5" w:rsidRPr="006403CB" w:rsidTr="007314D7">
        <w:trPr>
          <w:trHeight w:val="194"/>
        </w:trPr>
        <w:tc>
          <w:tcPr>
            <w:tcW w:w="5527"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40"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9"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7314D7">
        <w:trPr>
          <w:trHeight w:val="194"/>
        </w:trPr>
        <w:tc>
          <w:tcPr>
            <w:tcW w:w="5527" w:type="dxa"/>
            <w:gridSpan w:val="3"/>
          </w:tcPr>
          <w:p w:rsidR="00CC1EC5" w:rsidRPr="006403CB" w:rsidRDefault="00CC1EC5" w:rsidP="00E30CBA">
            <w:pPr>
              <w:rPr>
                <w:rFonts w:asciiTheme="majorHAnsi" w:hAnsiTheme="majorHAnsi" w:cs="Arial"/>
                <w:b/>
                <w:color w:val="002060"/>
                <w:sz w:val="20"/>
                <w:szCs w:val="20"/>
                <w:lang w:val="en-GB"/>
              </w:rPr>
            </w:pPr>
          </w:p>
        </w:tc>
        <w:tc>
          <w:tcPr>
            <w:tcW w:w="1540"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9"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7314D7">
        <w:trPr>
          <w:trHeight w:val="194"/>
        </w:trPr>
        <w:tc>
          <w:tcPr>
            <w:tcW w:w="5527"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40"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9" w:type="dxa"/>
          </w:tcPr>
          <w:p w:rsidR="00CC1EC5" w:rsidRPr="006403CB" w:rsidRDefault="00CC1EC5" w:rsidP="00E30CBA">
            <w:pPr>
              <w:rPr>
                <w:rFonts w:asciiTheme="majorHAnsi" w:hAnsiTheme="majorHAnsi" w:cs="Arial"/>
                <w:color w:val="002060"/>
                <w:sz w:val="20"/>
                <w:szCs w:val="20"/>
                <w:lang w:val="en-GB"/>
              </w:rPr>
            </w:pPr>
          </w:p>
        </w:tc>
      </w:tr>
      <w:tr w:rsidR="007314D7" w:rsidRPr="006403CB" w:rsidTr="007314D7">
        <w:trPr>
          <w:trHeight w:val="599"/>
        </w:trPr>
        <w:tc>
          <w:tcPr>
            <w:tcW w:w="3141" w:type="dxa"/>
            <w:shd w:val="clear" w:color="auto" w:fill="D0CECE" w:themeFill="background2" w:themeFillShade="E6"/>
          </w:tcPr>
          <w:p w:rsidR="007314D7" w:rsidRPr="006403CB" w:rsidRDefault="007314D7" w:rsidP="007314D7">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7314D7" w:rsidRPr="006403CB" w:rsidRDefault="007314D7" w:rsidP="007314D7">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155" w:type="dxa"/>
            <w:gridSpan w:val="5"/>
            <w:vAlign w:val="center"/>
          </w:tcPr>
          <w:p w:rsidR="007314D7" w:rsidRPr="00E366E9" w:rsidRDefault="00A72ABD" w:rsidP="007314D7">
            <w:pPr>
              <w:rPr>
                <w:rFonts w:ascii="Calibri" w:hAnsi="Calibri" w:cs="Arial"/>
                <w:sz w:val="20"/>
                <w:szCs w:val="20"/>
              </w:rPr>
            </w:pPr>
            <w:r>
              <w:rPr>
                <w:rFonts w:ascii="Calibri" w:hAnsi="Calibri" w:cs="Arial"/>
                <w:sz w:val="20"/>
                <w:szCs w:val="20"/>
              </w:rPr>
              <w:t>Speci</w:t>
            </w:r>
            <w:r w:rsidR="00026A2F">
              <w:rPr>
                <w:rFonts w:ascii="Calibri" w:hAnsi="Calibri" w:cs="Arial"/>
                <w:sz w:val="20"/>
                <w:szCs w:val="20"/>
              </w:rPr>
              <w:t>al</w:t>
            </w:r>
            <w:r w:rsidR="00E366E9">
              <w:rPr>
                <w:rFonts w:ascii="Calibri" w:hAnsi="Calibri" w:cs="Arial"/>
                <w:sz w:val="20"/>
                <w:szCs w:val="20"/>
              </w:rPr>
              <w:t xml:space="preserve"> background</w:t>
            </w:r>
          </w:p>
        </w:tc>
      </w:tr>
      <w:tr w:rsidR="007314D7" w:rsidRPr="006403CB" w:rsidTr="007314D7">
        <w:tc>
          <w:tcPr>
            <w:tcW w:w="3141" w:type="dxa"/>
            <w:shd w:val="clear" w:color="auto" w:fill="D0CECE" w:themeFill="background2" w:themeFillShade="E6"/>
          </w:tcPr>
          <w:p w:rsidR="007314D7" w:rsidRPr="006403CB" w:rsidRDefault="007314D7" w:rsidP="007314D7">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7314D7" w:rsidRPr="006403CB" w:rsidRDefault="007314D7" w:rsidP="007314D7">
            <w:pPr>
              <w:jc w:val="right"/>
              <w:rPr>
                <w:rFonts w:asciiTheme="majorHAnsi" w:hAnsiTheme="majorHAnsi" w:cs="Arial"/>
                <w:b/>
                <w:sz w:val="20"/>
                <w:szCs w:val="20"/>
                <w:lang w:val="en-GB"/>
              </w:rPr>
            </w:pPr>
          </w:p>
        </w:tc>
        <w:tc>
          <w:tcPr>
            <w:tcW w:w="5155" w:type="dxa"/>
            <w:gridSpan w:val="5"/>
          </w:tcPr>
          <w:p w:rsidR="007314D7" w:rsidRPr="006403CB" w:rsidRDefault="007314D7" w:rsidP="007314D7">
            <w:pPr>
              <w:rPr>
                <w:rFonts w:asciiTheme="majorHAnsi" w:hAnsiTheme="majorHAnsi" w:cs="Arial"/>
                <w:color w:val="002060"/>
                <w:sz w:val="20"/>
                <w:szCs w:val="20"/>
                <w:lang w:val="en-GB"/>
              </w:rPr>
            </w:pPr>
          </w:p>
        </w:tc>
      </w:tr>
      <w:tr w:rsidR="007314D7" w:rsidRPr="006403CB" w:rsidTr="00467F10">
        <w:tc>
          <w:tcPr>
            <w:tcW w:w="3141" w:type="dxa"/>
            <w:shd w:val="clear" w:color="auto" w:fill="D0CECE" w:themeFill="background2" w:themeFillShade="E6"/>
          </w:tcPr>
          <w:p w:rsidR="007314D7" w:rsidRPr="006403CB" w:rsidRDefault="007314D7" w:rsidP="007314D7">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155" w:type="dxa"/>
            <w:gridSpan w:val="5"/>
            <w:vAlign w:val="center"/>
          </w:tcPr>
          <w:p w:rsidR="007314D7" w:rsidRPr="007314D7" w:rsidRDefault="007314D7" w:rsidP="007314D7">
            <w:pPr>
              <w:rPr>
                <w:rFonts w:ascii="Calibri" w:hAnsi="Calibri" w:cs="Arial"/>
                <w:sz w:val="20"/>
                <w:szCs w:val="20"/>
              </w:rPr>
            </w:pPr>
            <w:r>
              <w:rPr>
                <w:rFonts w:ascii="Calibri" w:hAnsi="Calibri" w:cs="Arial"/>
                <w:sz w:val="20"/>
                <w:szCs w:val="20"/>
              </w:rPr>
              <w:t>GREEK</w:t>
            </w:r>
          </w:p>
        </w:tc>
      </w:tr>
      <w:tr w:rsidR="007314D7" w:rsidRPr="006403CB" w:rsidTr="00137362">
        <w:tc>
          <w:tcPr>
            <w:tcW w:w="3141" w:type="dxa"/>
            <w:shd w:val="clear" w:color="auto" w:fill="D0CECE" w:themeFill="background2" w:themeFillShade="E6"/>
          </w:tcPr>
          <w:p w:rsidR="007314D7" w:rsidRPr="006403CB" w:rsidRDefault="007314D7" w:rsidP="007314D7">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155" w:type="dxa"/>
            <w:gridSpan w:val="5"/>
            <w:vAlign w:val="center"/>
          </w:tcPr>
          <w:p w:rsidR="007314D7" w:rsidRPr="007314D7" w:rsidRDefault="007314D7" w:rsidP="007314D7">
            <w:pPr>
              <w:rPr>
                <w:rFonts w:ascii="Calibri" w:hAnsi="Calibri" w:cs="Arial"/>
                <w:sz w:val="20"/>
                <w:szCs w:val="20"/>
              </w:rPr>
            </w:pPr>
            <w:r>
              <w:rPr>
                <w:rFonts w:ascii="Calibri" w:hAnsi="Calibri" w:cs="Arial"/>
                <w:sz w:val="20"/>
                <w:szCs w:val="20"/>
              </w:rPr>
              <w:t>NO</w:t>
            </w:r>
          </w:p>
        </w:tc>
      </w:tr>
      <w:tr w:rsidR="007314D7" w:rsidRPr="006403CB" w:rsidTr="007314D7">
        <w:tc>
          <w:tcPr>
            <w:tcW w:w="3141" w:type="dxa"/>
            <w:shd w:val="clear" w:color="auto" w:fill="D0CECE" w:themeFill="background2" w:themeFillShade="E6"/>
          </w:tcPr>
          <w:p w:rsidR="007314D7" w:rsidRPr="006403CB" w:rsidRDefault="007314D7" w:rsidP="007314D7">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155" w:type="dxa"/>
            <w:gridSpan w:val="5"/>
          </w:tcPr>
          <w:p w:rsidR="007314D7" w:rsidRPr="006403CB" w:rsidRDefault="007314D7" w:rsidP="007314D7">
            <w:pPr>
              <w:spacing w:after="200" w:line="276" w:lineRule="auto"/>
              <w:rPr>
                <w:rFonts w:asciiTheme="majorHAnsi" w:eastAsia="Calibri" w:hAnsiTheme="majorHAnsi" w:cs="Arial"/>
                <w:color w:val="002060"/>
                <w:sz w:val="20"/>
                <w:szCs w:val="20"/>
                <w:lang w:val="en-GB"/>
              </w:rPr>
            </w:pPr>
            <w:r w:rsidRPr="00914D74">
              <w:rPr>
                <w:rFonts w:ascii="Calibri" w:eastAsia="Calibri" w:hAnsi="Calibri" w:cs="Arial"/>
                <w:sz w:val="20"/>
                <w:szCs w:val="20"/>
              </w:rPr>
              <w:t>ECLASS.AEGEAN.GR</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rsidTr="00E30CBA">
        <w:tc>
          <w:tcPr>
            <w:tcW w:w="8472" w:type="dxa"/>
            <w:gridSpan w:val="2"/>
          </w:tcPr>
          <w:p w:rsidR="005E0AE9" w:rsidRDefault="005E0AE9" w:rsidP="005E0AE9">
            <w:pPr>
              <w:rPr>
                <w:rFonts w:asciiTheme="minorHAnsi" w:hAnsiTheme="minorHAnsi" w:cstheme="minorHAnsi"/>
                <w:sz w:val="20"/>
                <w:szCs w:val="20"/>
              </w:rPr>
            </w:pPr>
            <w:r w:rsidRPr="005E0AE9">
              <w:rPr>
                <w:rFonts w:asciiTheme="minorHAnsi" w:hAnsiTheme="minorHAnsi" w:cstheme="minorHAnsi"/>
                <w:sz w:val="20"/>
                <w:szCs w:val="20"/>
              </w:rPr>
              <w:t xml:space="preserve">After the completion of this course, the student should:  </w:t>
            </w:r>
          </w:p>
          <w:p w:rsidR="005E0AE9" w:rsidRDefault="005E0AE9" w:rsidP="005E0AE9">
            <w:pPr>
              <w:rPr>
                <w:rFonts w:asciiTheme="minorHAnsi" w:hAnsiTheme="minorHAnsi" w:cstheme="minorHAnsi"/>
                <w:sz w:val="20"/>
                <w:szCs w:val="20"/>
              </w:rPr>
            </w:pPr>
            <w:r w:rsidRPr="005E0AE9">
              <w:rPr>
                <w:rFonts w:asciiTheme="minorHAnsi" w:hAnsiTheme="minorHAnsi" w:cstheme="minorHAnsi"/>
                <w:sz w:val="20"/>
                <w:szCs w:val="20"/>
              </w:rPr>
              <w:t xml:space="preserve">- be acquainted with theoretical notions like possible world semantics, set theory, scope, anaphora, first order predicate logic (and its limits),  </w:t>
            </w:r>
          </w:p>
          <w:p w:rsidR="005E0AE9" w:rsidRDefault="005E0AE9" w:rsidP="005E0AE9">
            <w:pPr>
              <w:rPr>
                <w:rFonts w:asciiTheme="minorHAnsi" w:hAnsiTheme="minorHAnsi" w:cstheme="minorHAnsi"/>
                <w:sz w:val="20"/>
                <w:szCs w:val="20"/>
              </w:rPr>
            </w:pPr>
            <w:r w:rsidRPr="005E0AE9">
              <w:rPr>
                <w:rFonts w:asciiTheme="minorHAnsi" w:hAnsiTheme="minorHAnsi" w:cstheme="minorHAnsi"/>
                <w:sz w:val="20"/>
                <w:szCs w:val="20"/>
              </w:rPr>
              <w:t xml:space="preserve">- deeply comprehend contemporary semantic theory, </w:t>
            </w:r>
          </w:p>
          <w:p w:rsidR="005E0AE9" w:rsidRDefault="005E0AE9" w:rsidP="005E0AE9">
            <w:pPr>
              <w:rPr>
                <w:rFonts w:asciiTheme="minorHAnsi" w:hAnsiTheme="minorHAnsi" w:cstheme="minorHAnsi"/>
                <w:sz w:val="20"/>
                <w:szCs w:val="20"/>
              </w:rPr>
            </w:pPr>
            <w:r w:rsidRPr="005E0AE9">
              <w:rPr>
                <w:rFonts w:asciiTheme="minorHAnsi" w:hAnsiTheme="minorHAnsi" w:cstheme="minorHAnsi"/>
                <w:sz w:val="20"/>
                <w:szCs w:val="20"/>
              </w:rPr>
              <w:t xml:space="preserve">- critically assess scientific papers in Greek and English,  </w:t>
            </w:r>
          </w:p>
          <w:p w:rsidR="005E0AE9" w:rsidRDefault="005E0AE9" w:rsidP="005E0AE9">
            <w:pPr>
              <w:rPr>
                <w:rFonts w:asciiTheme="minorHAnsi" w:hAnsiTheme="minorHAnsi" w:cstheme="minorHAnsi"/>
                <w:sz w:val="20"/>
                <w:szCs w:val="20"/>
              </w:rPr>
            </w:pPr>
            <w:r w:rsidRPr="005E0AE9">
              <w:rPr>
                <w:rFonts w:asciiTheme="minorHAnsi" w:hAnsiTheme="minorHAnsi" w:cstheme="minorHAnsi"/>
                <w:sz w:val="20"/>
                <w:szCs w:val="20"/>
              </w:rPr>
              <w:t xml:space="preserve">- </w:t>
            </w:r>
            <w:proofErr w:type="gramStart"/>
            <w:r w:rsidRPr="005E0AE9">
              <w:rPr>
                <w:rFonts w:asciiTheme="minorHAnsi" w:hAnsiTheme="minorHAnsi" w:cstheme="minorHAnsi"/>
                <w:sz w:val="20"/>
                <w:szCs w:val="20"/>
              </w:rPr>
              <w:t>be able to</w:t>
            </w:r>
            <w:proofErr w:type="gramEnd"/>
            <w:r w:rsidRPr="005E0AE9">
              <w:rPr>
                <w:rFonts w:asciiTheme="minorHAnsi" w:hAnsiTheme="minorHAnsi" w:cstheme="minorHAnsi"/>
                <w:sz w:val="20"/>
                <w:szCs w:val="20"/>
              </w:rPr>
              <w:t xml:space="preserve"> a) participate as a group member in the completion of an assignment and b) orally present it and  </w:t>
            </w:r>
          </w:p>
          <w:p w:rsidR="005E0AE9" w:rsidRDefault="005E0AE9" w:rsidP="005E0AE9">
            <w:pPr>
              <w:rPr>
                <w:rFonts w:asciiTheme="minorHAnsi" w:hAnsiTheme="minorHAnsi" w:cstheme="minorHAnsi"/>
                <w:sz w:val="20"/>
                <w:szCs w:val="20"/>
              </w:rPr>
            </w:pPr>
            <w:r w:rsidRPr="005E0AE9">
              <w:rPr>
                <w:rFonts w:asciiTheme="minorHAnsi" w:hAnsiTheme="minorHAnsi" w:cstheme="minorHAnsi"/>
                <w:sz w:val="20"/>
                <w:szCs w:val="20"/>
              </w:rPr>
              <w:t xml:space="preserve">- </w:t>
            </w:r>
            <w:proofErr w:type="gramStart"/>
            <w:r w:rsidRPr="005E0AE9">
              <w:rPr>
                <w:rFonts w:asciiTheme="minorHAnsi" w:hAnsiTheme="minorHAnsi" w:cstheme="minorHAnsi"/>
                <w:sz w:val="20"/>
                <w:szCs w:val="20"/>
              </w:rPr>
              <w:t>be capable of relating</w:t>
            </w:r>
            <w:proofErr w:type="gramEnd"/>
            <w:r w:rsidRPr="005E0AE9">
              <w:rPr>
                <w:rFonts w:asciiTheme="minorHAnsi" w:hAnsiTheme="minorHAnsi" w:cstheme="minorHAnsi"/>
                <w:sz w:val="20"/>
                <w:szCs w:val="20"/>
              </w:rPr>
              <w:t xml:space="preserve"> his/her own observations to the analyzes proposed by contemporary semantic theor</w:t>
            </w:r>
            <w:r>
              <w:rPr>
                <w:rFonts w:asciiTheme="minorHAnsi" w:hAnsiTheme="minorHAnsi" w:cstheme="minorHAnsi"/>
                <w:sz w:val="20"/>
                <w:szCs w:val="20"/>
              </w:rPr>
              <w:t>ies</w:t>
            </w:r>
          </w:p>
          <w:p w:rsidR="005E0AE9" w:rsidRDefault="005E0AE9" w:rsidP="005E0AE9">
            <w:pPr>
              <w:rPr>
                <w:rFonts w:asciiTheme="minorHAnsi" w:hAnsiTheme="minorHAnsi" w:cstheme="minorHAnsi"/>
                <w:sz w:val="20"/>
                <w:szCs w:val="20"/>
              </w:rPr>
            </w:pPr>
            <w:r w:rsidRPr="005E0AE9">
              <w:rPr>
                <w:rFonts w:asciiTheme="minorHAnsi" w:hAnsiTheme="minorHAnsi" w:cstheme="minorHAnsi"/>
                <w:sz w:val="20"/>
                <w:szCs w:val="20"/>
              </w:rPr>
              <w:t xml:space="preserve"> - </w:t>
            </w:r>
            <w:proofErr w:type="gramStart"/>
            <w:r w:rsidRPr="005E0AE9">
              <w:rPr>
                <w:rFonts w:asciiTheme="minorHAnsi" w:hAnsiTheme="minorHAnsi" w:cstheme="minorHAnsi"/>
                <w:sz w:val="20"/>
                <w:szCs w:val="20"/>
              </w:rPr>
              <w:t>be able to</w:t>
            </w:r>
            <w:proofErr w:type="gramEnd"/>
            <w:r w:rsidRPr="005E0AE9">
              <w:rPr>
                <w:rFonts w:asciiTheme="minorHAnsi" w:hAnsiTheme="minorHAnsi" w:cstheme="minorHAnsi"/>
                <w:sz w:val="20"/>
                <w:szCs w:val="20"/>
              </w:rPr>
              <w:t xml:space="preserve"> study phenomena at the syntax-semantics interface, </w:t>
            </w:r>
          </w:p>
          <w:p w:rsidR="005E0AE9" w:rsidRDefault="005E0AE9" w:rsidP="005E0AE9">
            <w:pPr>
              <w:rPr>
                <w:rFonts w:asciiTheme="minorHAnsi" w:hAnsiTheme="minorHAnsi" w:cstheme="minorHAnsi"/>
                <w:sz w:val="20"/>
                <w:szCs w:val="20"/>
              </w:rPr>
            </w:pPr>
            <w:r w:rsidRPr="005E0AE9">
              <w:rPr>
                <w:rFonts w:asciiTheme="minorHAnsi" w:hAnsiTheme="minorHAnsi" w:cstheme="minorHAnsi"/>
                <w:sz w:val="20"/>
                <w:szCs w:val="20"/>
              </w:rPr>
              <w:t xml:space="preserve"> - assess the role that plays the word meaning to the sentential structure and vice versa,  </w:t>
            </w:r>
          </w:p>
          <w:p w:rsidR="005E0AE9" w:rsidRDefault="005E0AE9" w:rsidP="005E0AE9">
            <w:pPr>
              <w:rPr>
                <w:rFonts w:asciiTheme="minorHAnsi" w:hAnsiTheme="minorHAnsi" w:cstheme="minorHAnsi"/>
                <w:sz w:val="20"/>
                <w:szCs w:val="20"/>
              </w:rPr>
            </w:pPr>
            <w:r w:rsidRPr="005E0AE9">
              <w:rPr>
                <w:rFonts w:asciiTheme="minorHAnsi" w:hAnsiTheme="minorHAnsi" w:cstheme="minorHAnsi"/>
                <w:sz w:val="20"/>
                <w:szCs w:val="20"/>
              </w:rPr>
              <w:t xml:space="preserve">- be acquainted with the following natural language phenomena: negation, quantification, modality, definiteness and indefiniteness,  </w:t>
            </w:r>
          </w:p>
          <w:p w:rsidR="00CC1EC5" w:rsidRPr="005E0AE9" w:rsidRDefault="005E0AE9" w:rsidP="005E0AE9">
            <w:pPr>
              <w:rPr>
                <w:rFonts w:asciiTheme="minorHAnsi" w:hAnsiTheme="minorHAnsi" w:cstheme="minorHAnsi"/>
                <w:sz w:val="20"/>
                <w:szCs w:val="20"/>
              </w:rPr>
            </w:pPr>
            <w:r w:rsidRPr="005E0AE9">
              <w:rPr>
                <w:rFonts w:asciiTheme="minorHAnsi" w:hAnsiTheme="minorHAnsi" w:cstheme="minorHAnsi"/>
                <w:sz w:val="20"/>
                <w:szCs w:val="20"/>
              </w:rPr>
              <w:lastRenderedPageBreak/>
              <w:t xml:space="preserve">- </w:t>
            </w:r>
            <w:proofErr w:type="gramStart"/>
            <w:r w:rsidRPr="005E0AE9">
              <w:rPr>
                <w:rFonts w:asciiTheme="minorHAnsi" w:hAnsiTheme="minorHAnsi" w:cstheme="minorHAnsi"/>
                <w:sz w:val="20"/>
                <w:szCs w:val="20"/>
              </w:rPr>
              <w:t>be capable of calculating</w:t>
            </w:r>
            <w:proofErr w:type="gramEnd"/>
            <w:r w:rsidRPr="005E0AE9">
              <w:rPr>
                <w:rFonts w:asciiTheme="minorHAnsi" w:hAnsiTheme="minorHAnsi" w:cstheme="minorHAnsi"/>
                <w:sz w:val="20"/>
                <w:szCs w:val="20"/>
              </w:rPr>
              <w:t xml:space="preserve"> the meaning of the sentence as a composition of the meanings of its parts and - collect, compare and analyze a variety of data mainly from Mediterranean languages (Greek, French, Arabic, Tu</w:t>
            </w:r>
            <w:r>
              <w:rPr>
                <w:rFonts w:asciiTheme="minorHAnsi" w:hAnsiTheme="minorHAnsi" w:cstheme="minorHAnsi"/>
                <w:sz w:val="20"/>
                <w:szCs w:val="20"/>
              </w:rPr>
              <w:t xml:space="preserve">rkish, Hebrew). </w:t>
            </w: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A5419" w:rsidTr="00E30CBA">
        <w:tc>
          <w:tcPr>
            <w:tcW w:w="8472" w:type="dxa"/>
            <w:gridSpan w:val="2"/>
            <w:tcBorders>
              <w:bottom w:val="single" w:sz="4" w:space="0" w:color="auto"/>
            </w:tcBorders>
          </w:tcPr>
          <w:p w:rsidR="007314D7" w:rsidRDefault="007314D7" w:rsidP="007314D7">
            <w:pPr>
              <w:widowControl w:val="0"/>
              <w:autoSpaceDE w:val="0"/>
              <w:autoSpaceDN w:val="0"/>
              <w:adjustRightInd w:val="0"/>
              <w:rPr>
                <w:rFonts w:asciiTheme="minorHAnsi" w:eastAsia="Calibri" w:hAnsiTheme="minorHAnsi" w:cstheme="minorHAnsi"/>
                <w:sz w:val="20"/>
                <w:szCs w:val="20"/>
              </w:rPr>
            </w:pPr>
            <w:r w:rsidRPr="007314D7">
              <w:rPr>
                <w:rFonts w:asciiTheme="minorHAnsi" w:eastAsia="Calibri" w:hAnsiTheme="minorHAnsi" w:cstheme="minorHAnsi"/>
                <w:sz w:val="20"/>
                <w:szCs w:val="20"/>
              </w:rPr>
              <w:t>-</w:t>
            </w:r>
            <w:r>
              <w:rPr>
                <w:rFonts w:asciiTheme="minorHAnsi" w:eastAsia="Calibri" w:hAnsiTheme="minorHAnsi" w:cstheme="minorHAnsi"/>
                <w:sz w:val="20"/>
                <w:szCs w:val="20"/>
              </w:rPr>
              <w:t>Search for, analysis and synthesis of data and information with the use of necessary technology</w:t>
            </w:r>
          </w:p>
          <w:p w:rsidR="007314D7" w:rsidRPr="006A5419" w:rsidRDefault="007314D7" w:rsidP="007314D7">
            <w:pPr>
              <w:widowControl w:val="0"/>
              <w:autoSpaceDE w:val="0"/>
              <w:autoSpaceDN w:val="0"/>
              <w:adjustRightInd w:val="0"/>
              <w:rPr>
                <w:rFonts w:asciiTheme="minorHAnsi" w:eastAsia="Calibri" w:hAnsiTheme="minorHAnsi" w:cstheme="minorHAnsi"/>
                <w:sz w:val="20"/>
                <w:szCs w:val="20"/>
              </w:rPr>
            </w:pPr>
            <w:r w:rsidRPr="006A5419">
              <w:rPr>
                <w:rFonts w:asciiTheme="minorHAnsi" w:eastAsia="Calibri" w:hAnsiTheme="minorHAnsi" w:cstheme="minorHAnsi"/>
                <w:sz w:val="20"/>
                <w:szCs w:val="20"/>
              </w:rPr>
              <w:t>-</w:t>
            </w:r>
            <w:r w:rsidR="006A5419">
              <w:rPr>
                <w:rFonts w:asciiTheme="minorHAnsi" w:eastAsia="Calibri" w:hAnsiTheme="minorHAnsi" w:cstheme="minorHAnsi"/>
                <w:sz w:val="20"/>
                <w:szCs w:val="20"/>
              </w:rPr>
              <w:t>Production of new research ideas</w:t>
            </w:r>
          </w:p>
          <w:p w:rsidR="007314D7" w:rsidRPr="006A5419" w:rsidRDefault="007314D7" w:rsidP="007314D7">
            <w:pPr>
              <w:widowControl w:val="0"/>
              <w:autoSpaceDE w:val="0"/>
              <w:autoSpaceDN w:val="0"/>
              <w:adjustRightInd w:val="0"/>
              <w:rPr>
                <w:rFonts w:asciiTheme="minorHAnsi" w:eastAsia="Calibri" w:hAnsiTheme="minorHAnsi" w:cstheme="minorHAnsi"/>
                <w:sz w:val="20"/>
                <w:szCs w:val="20"/>
              </w:rPr>
            </w:pPr>
            <w:r w:rsidRPr="006A5419">
              <w:rPr>
                <w:rFonts w:asciiTheme="minorHAnsi" w:eastAsia="Calibri" w:hAnsiTheme="minorHAnsi" w:cstheme="minorHAnsi"/>
                <w:sz w:val="20"/>
                <w:szCs w:val="20"/>
              </w:rPr>
              <w:t>-</w:t>
            </w:r>
            <w:r w:rsidR="006A5419">
              <w:rPr>
                <w:rFonts w:asciiTheme="minorHAnsi" w:eastAsia="Calibri" w:hAnsiTheme="minorHAnsi" w:cstheme="minorHAnsi"/>
                <w:sz w:val="20"/>
                <w:szCs w:val="20"/>
              </w:rPr>
              <w:t xml:space="preserve">Criticism </w:t>
            </w:r>
          </w:p>
          <w:p w:rsidR="00CC1EC5" w:rsidRPr="006A5419" w:rsidRDefault="007314D7" w:rsidP="00385D08">
            <w:pPr>
              <w:widowControl w:val="0"/>
              <w:autoSpaceDE w:val="0"/>
              <w:autoSpaceDN w:val="0"/>
              <w:adjustRightInd w:val="0"/>
              <w:rPr>
                <w:rFonts w:asciiTheme="majorHAnsi" w:hAnsiTheme="majorHAnsi" w:cs="Arial"/>
                <w:i/>
                <w:sz w:val="16"/>
                <w:szCs w:val="16"/>
              </w:rPr>
            </w:pPr>
            <w:r w:rsidRPr="006A5419">
              <w:rPr>
                <w:rFonts w:asciiTheme="minorHAnsi" w:eastAsia="Calibri" w:hAnsiTheme="minorHAnsi" w:cstheme="minorHAnsi"/>
                <w:sz w:val="20"/>
                <w:szCs w:val="20"/>
              </w:rPr>
              <w:t>-</w:t>
            </w:r>
            <w:r w:rsidR="006A5419">
              <w:rPr>
                <w:rFonts w:asciiTheme="minorHAnsi" w:eastAsia="Calibri" w:hAnsiTheme="minorHAnsi" w:cstheme="minorHAnsi"/>
                <w:sz w:val="20"/>
                <w:szCs w:val="20"/>
              </w:rPr>
              <w:t>Production of free, creative and inductive thinking</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C1EC5" w:rsidRPr="000879B8" w:rsidRDefault="005E0AE9" w:rsidP="005E0AE9">
            <w:pPr>
              <w:rPr>
                <w:rFonts w:asciiTheme="minorHAnsi" w:hAnsiTheme="minorHAnsi" w:cstheme="minorHAnsi"/>
                <w:color w:val="002060"/>
                <w:sz w:val="20"/>
                <w:szCs w:val="20"/>
              </w:rPr>
            </w:pPr>
            <w:r w:rsidRPr="005E0AE9">
              <w:rPr>
                <w:rFonts w:asciiTheme="minorHAnsi" w:hAnsiTheme="minorHAnsi" w:cstheme="minorHAnsi"/>
                <w:sz w:val="20"/>
                <w:szCs w:val="20"/>
              </w:rPr>
              <w:t xml:space="preserve">In this advanced Semantics course the student becomes acquainted with the hottest topics of contemporary semantic theory through the study of data from </w:t>
            </w:r>
            <w:proofErr w:type="spellStart"/>
            <w:r w:rsidRPr="005E0AE9">
              <w:rPr>
                <w:rFonts w:asciiTheme="minorHAnsi" w:hAnsiTheme="minorHAnsi" w:cstheme="minorHAnsi"/>
                <w:sz w:val="20"/>
                <w:szCs w:val="20"/>
              </w:rPr>
              <w:t>mediterranean</w:t>
            </w:r>
            <w:proofErr w:type="spellEnd"/>
            <w:r w:rsidRPr="005E0AE9">
              <w:rPr>
                <w:rFonts w:asciiTheme="minorHAnsi" w:hAnsiTheme="minorHAnsi" w:cstheme="minorHAnsi"/>
                <w:sz w:val="20"/>
                <w:szCs w:val="20"/>
              </w:rPr>
              <w:t xml:space="preserve"> languages as well as other languages. This course is organized on two levels. On the first level, the student becomes able to assess contemporary semantic theories through the study of set theory, semantic scope and determiner phrases. On the second level, the student becomes able to collect, compare and analyze a variety of data mainly from Mediterranean languages (Greek, French, Arabic, Turkish, Hebrew). Moreover, great emphasis is given on studies that pertain on phenomena on the syntax-semantics interface, such as negation, quantification, modality, aspect and (in)definiteness.  </w:t>
            </w:r>
          </w:p>
        </w:tc>
      </w:tr>
    </w:tbl>
    <w:p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C1EC5" w:rsidRPr="00385D08" w:rsidRDefault="00B43833" w:rsidP="00E30CBA">
            <w:pPr>
              <w:spacing w:after="200" w:line="276" w:lineRule="auto"/>
              <w:rPr>
                <w:rFonts w:ascii="Calibri" w:eastAsia="Calibri" w:hAnsi="Calibri" w:cs="Calibri"/>
                <w:iCs/>
                <w:sz w:val="20"/>
                <w:szCs w:val="20"/>
                <w:lang w:val="en-GB"/>
              </w:rPr>
            </w:pPr>
            <w:r w:rsidRPr="00385D08">
              <w:rPr>
                <w:rFonts w:ascii="Calibri" w:eastAsia="Calibri" w:hAnsi="Calibri" w:cs="Calibri"/>
                <w:iCs/>
                <w:sz w:val="20"/>
                <w:szCs w:val="20"/>
                <w:lang w:val="en-GB"/>
              </w:rPr>
              <w:t>Face-to-face</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CC1EC5" w:rsidRPr="00385D08" w:rsidRDefault="00B43833" w:rsidP="00E30CBA">
            <w:pPr>
              <w:rPr>
                <w:rFonts w:ascii="Calibri" w:hAnsi="Calibri" w:cs="Calibri"/>
                <w:sz w:val="20"/>
                <w:szCs w:val="20"/>
                <w:lang w:val="en-GB"/>
              </w:rPr>
            </w:pPr>
            <w:r w:rsidRPr="00385D08">
              <w:rPr>
                <w:rFonts w:ascii="Calibri" w:hAnsi="Calibri" w:cs="Calibri"/>
                <w:sz w:val="20"/>
                <w:szCs w:val="20"/>
                <w:lang w:val="en-GB"/>
              </w:rPr>
              <w:t>Use of ICT in teaching and communicating with students</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B43833" w:rsidRPr="00B43833" w:rsidTr="00E30CBA">
              <w:tc>
                <w:tcPr>
                  <w:tcW w:w="2467" w:type="dxa"/>
                  <w:shd w:val="clear" w:color="auto" w:fill="D0CECE" w:themeFill="background2" w:themeFillShade="E6"/>
                  <w:vAlign w:val="center"/>
                </w:tcPr>
                <w:p w:rsidR="00CC1EC5" w:rsidRPr="00B43833" w:rsidRDefault="00CC1EC5" w:rsidP="00E30CBA">
                  <w:pPr>
                    <w:jc w:val="center"/>
                    <w:rPr>
                      <w:rFonts w:asciiTheme="majorHAnsi" w:hAnsiTheme="majorHAnsi" w:cs="Arial"/>
                      <w:b/>
                      <w:i/>
                      <w:sz w:val="20"/>
                      <w:szCs w:val="20"/>
                      <w:lang w:val="en-GB"/>
                    </w:rPr>
                  </w:pPr>
                  <w:r w:rsidRPr="00B43833">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B43833" w:rsidRDefault="00CC1EC5" w:rsidP="00E30CBA">
                  <w:pPr>
                    <w:jc w:val="center"/>
                    <w:rPr>
                      <w:rFonts w:asciiTheme="majorHAnsi" w:hAnsiTheme="majorHAnsi" w:cs="Arial"/>
                      <w:b/>
                      <w:i/>
                      <w:sz w:val="20"/>
                      <w:szCs w:val="20"/>
                      <w:lang w:val="en-GB"/>
                    </w:rPr>
                  </w:pPr>
                  <w:r w:rsidRPr="00B43833">
                    <w:rPr>
                      <w:rFonts w:asciiTheme="majorHAnsi" w:hAnsiTheme="majorHAnsi" w:cs="Arial"/>
                      <w:b/>
                      <w:i/>
                      <w:sz w:val="20"/>
                      <w:szCs w:val="20"/>
                      <w:lang w:val="en-GB"/>
                    </w:rPr>
                    <w:t>Semester workload</w:t>
                  </w:r>
                </w:p>
              </w:tc>
            </w:tr>
            <w:tr w:rsidR="00B43833" w:rsidRPr="00B43833" w:rsidTr="00E30CBA">
              <w:tc>
                <w:tcPr>
                  <w:tcW w:w="2467" w:type="dxa"/>
                </w:tcPr>
                <w:p w:rsidR="00CC1EC5" w:rsidRPr="00B43833" w:rsidRDefault="00B43833" w:rsidP="00E30CBA">
                  <w:pPr>
                    <w:rPr>
                      <w:rFonts w:asciiTheme="minorHAnsi" w:hAnsiTheme="minorHAnsi"/>
                      <w:iCs/>
                      <w:sz w:val="20"/>
                      <w:szCs w:val="20"/>
                      <w:lang w:val="en-GB"/>
                    </w:rPr>
                  </w:pPr>
                  <w:r w:rsidRPr="00B43833">
                    <w:rPr>
                      <w:rFonts w:asciiTheme="minorHAnsi" w:hAnsiTheme="minorHAnsi"/>
                      <w:iCs/>
                      <w:sz w:val="20"/>
                      <w:szCs w:val="20"/>
                      <w:lang w:val="en-GB"/>
                    </w:rPr>
                    <w:t>Lectures</w:t>
                  </w:r>
                </w:p>
              </w:tc>
              <w:tc>
                <w:tcPr>
                  <w:tcW w:w="2468" w:type="dxa"/>
                </w:tcPr>
                <w:p w:rsidR="00CC1EC5" w:rsidRPr="00B43833" w:rsidRDefault="00B43833" w:rsidP="00E30CBA">
                  <w:pPr>
                    <w:jc w:val="center"/>
                    <w:rPr>
                      <w:rFonts w:asciiTheme="minorHAnsi" w:hAnsiTheme="minorHAnsi" w:cs="Arial"/>
                      <w:sz w:val="20"/>
                      <w:szCs w:val="20"/>
                      <w:lang w:val="en-GB"/>
                    </w:rPr>
                  </w:pPr>
                  <w:r w:rsidRPr="00B43833">
                    <w:rPr>
                      <w:rFonts w:asciiTheme="minorHAnsi" w:hAnsiTheme="minorHAnsi"/>
                      <w:sz w:val="20"/>
                      <w:szCs w:val="20"/>
                    </w:rPr>
                    <w:t>39 hours (1.56 ECTS)</w:t>
                  </w:r>
                </w:p>
              </w:tc>
            </w:tr>
            <w:tr w:rsidR="00B43833" w:rsidRPr="00B43833" w:rsidTr="00E30CBA">
              <w:tc>
                <w:tcPr>
                  <w:tcW w:w="2467" w:type="dxa"/>
                  <w:shd w:val="clear" w:color="auto" w:fill="auto"/>
                </w:tcPr>
                <w:p w:rsidR="00CC1EC5" w:rsidRPr="00B43833" w:rsidRDefault="00B43833" w:rsidP="00E30CBA">
                  <w:pPr>
                    <w:rPr>
                      <w:rFonts w:asciiTheme="minorHAnsi" w:hAnsiTheme="minorHAnsi"/>
                      <w:iCs/>
                      <w:sz w:val="20"/>
                      <w:szCs w:val="20"/>
                      <w:lang w:val="en-GB"/>
                    </w:rPr>
                  </w:pPr>
                  <w:r w:rsidRPr="00B43833">
                    <w:rPr>
                      <w:rFonts w:asciiTheme="minorHAnsi" w:hAnsiTheme="minorHAnsi"/>
                      <w:iCs/>
                      <w:sz w:val="20"/>
                      <w:szCs w:val="20"/>
                      <w:lang w:val="en-GB"/>
                    </w:rPr>
                    <w:t>Personal study</w:t>
                  </w:r>
                </w:p>
              </w:tc>
              <w:tc>
                <w:tcPr>
                  <w:tcW w:w="2468" w:type="dxa"/>
                </w:tcPr>
                <w:p w:rsidR="00CC1EC5" w:rsidRPr="00B43833" w:rsidRDefault="00B43833" w:rsidP="00E30CBA">
                  <w:pPr>
                    <w:jc w:val="center"/>
                    <w:rPr>
                      <w:rFonts w:asciiTheme="minorHAnsi" w:hAnsiTheme="minorHAnsi" w:cs="Arial"/>
                      <w:sz w:val="20"/>
                      <w:szCs w:val="20"/>
                      <w:lang w:val="en-GB"/>
                    </w:rPr>
                  </w:pPr>
                  <w:r w:rsidRPr="00B43833">
                    <w:rPr>
                      <w:rFonts w:asciiTheme="minorHAnsi" w:hAnsiTheme="minorHAnsi"/>
                      <w:sz w:val="20"/>
                      <w:szCs w:val="20"/>
                    </w:rPr>
                    <w:t>83 hours (3.32 ECTS)</w:t>
                  </w:r>
                </w:p>
              </w:tc>
            </w:tr>
            <w:tr w:rsidR="00B43833" w:rsidRPr="00B43833" w:rsidTr="00E30CBA">
              <w:tc>
                <w:tcPr>
                  <w:tcW w:w="2467" w:type="dxa"/>
                  <w:shd w:val="clear" w:color="auto" w:fill="auto"/>
                </w:tcPr>
                <w:p w:rsidR="00CC1EC5" w:rsidRPr="00B43833" w:rsidRDefault="00B43833" w:rsidP="00E30CBA">
                  <w:pPr>
                    <w:rPr>
                      <w:rFonts w:asciiTheme="minorHAnsi" w:hAnsiTheme="minorHAnsi"/>
                      <w:iCs/>
                      <w:sz w:val="20"/>
                      <w:szCs w:val="20"/>
                      <w:lang w:val="en-GB"/>
                    </w:rPr>
                  </w:pPr>
                  <w:r w:rsidRPr="00B43833">
                    <w:rPr>
                      <w:rFonts w:asciiTheme="minorHAnsi" w:hAnsiTheme="minorHAnsi"/>
                      <w:iCs/>
                      <w:sz w:val="20"/>
                      <w:szCs w:val="20"/>
                      <w:lang w:val="en-GB"/>
                    </w:rPr>
                    <w:t>End of semester exam</w:t>
                  </w:r>
                </w:p>
              </w:tc>
              <w:tc>
                <w:tcPr>
                  <w:tcW w:w="2468" w:type="dxa"/>
                </w:tcPr>
                <w:p w:rsidR="00CC1EC5" w:rsidRPr="00B43833" w:rsidRDefault="00B43833" w:rsidP="00E30CBA">
                  <w:pPr>
                    <w:jc w:val="center"/>
                    <w:rPr>
                      <w:rFonts w:asciiTheme="minorHAnsi" w:hAnsiTheme="minorHAnsi" w:cs="Arial"/>
                      <w:sz w:val="20"/>
                      <w:szCs w:val="20"/>
                      <w:lang w:val="en-GB"/>
                    </w:rPr>
                  </w:pPr>
                  <w:r w:rsidRPr="00B43833">
                    <w:rPr>
                      <w:rFonts w:asciiTheme="minorHAnsi" w:hAnsiTheme="minorHAnsi"/>
                      <w:sz w:val="20"/>
                      <w:szCs w:val="20"/>
                    </w:rPr>
                    <w:t>3 hours (0.12 ECTS)</w:t>
                  </w: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jc w:val="center"/>
                    <w:rPr>
                      <w:rFonts w:asciiTheme="minorHAnsi" w:hAnsiTheme="minorHAnsi" w:cs="Arial"/>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jc w:val="center"/>
                    <w:rPr>
                      <w:rFonts w:asciiTheme="minorHAnsi" w:hAnsiTheme="minorHAnsi" w:cs="Arial"/>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rPr>
                      <w:rFonts w:asciiTheme="minorHAnsi" w:hAnsiTheme="minorHAnsi" w:cs="Arial"/>
                      <w:i/>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rPr>
                      <w:rFonts w:asciiTheme="minorHAnsi" w:hAnsiTheme="minorHAnsi" w:cs="Arial"/>
                      <w:i/>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rPr>
                      <w:rFonts w:asciiTheme="minorHAnsi" w:hAnsiTheme="minorHAnsi" w:cs="Arial"/>
                      <w:i/>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jc w:val="center"/>
                    <w:rPr>
                      <w:rFonts w:asciiTheme="minorHAnsi" w:hAnsiTheme="minorHAnsi" w:cs="Arial"/>
                      <w:sz w:val="20"/>
                      <w:szCs w:val="20"/>
                      <w:lang w:val="en-GB"/>
                    </w:rPr>
                  </w:pPr>
                </w:p>
              </w:tc>
            </w:tr>
            <w:tr w:rsidR="00B43833" w:rsidRPr="00B43833" w:rsidTr="00E30CBA">
              <w:tc>
                <w:tcPr>
                  <w:tcW w:w="2467" w:type="dxa"/>
                </w:tcPr>
                <w:p w:rsidR="00CC1EC5" w:rsidRPr="00B43833" w:rsidRDefault="00CC1EC5" w:rsidP="00E30CBA">
                  <w:pPr>
                    <w:rPr>
                      <w:rFonts w:asciiTheme="minorHAnsi" w:hAnsiTheme="minorHAnsi"/>
                      <w:iCs/>
                      <w:sz w:val="20"/>
                      <w:szCs w:val="20"/>
                      <w:lang w:val="en-GB"/>
                    </w:rPr>
                  </w:pPr>
                  <w:r w:rsidRPr="00B43833">
                    <w:rPr>
                      <w:rFonts w:asciiTheme="minorHAnsi" w:hAnsiTheme="minorHAnsi"/>
                      <w:iCs/>
                      <w:sz w:val="20"/>
                      <w:szCs w:val="20"/>
                      <w:lang w:val="en-GB"/>
                    </w:rPr>
                    <w:t xml:space="preserve">Course total </w:t>
                  </w:r>
                </w:p>
              </w:tc>
              <w:tc>
                <w:tcPr>
                  <w:tcW w:w="2468" w:type="dxa"/>
                  <w:vAlign w:val="center"/>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1"/>
                    <w:gridCol w:w="2201"/>
                  </w:tblGrid>
                  <w:tr w:rsidR="00B43833" w:rsidRPr="00B43833" w:rsidTr="00B43833">
                    <w:trPr>
                      <w:tblCellSpacing w:w="0" w:type="dxa"/>
                    </w:trPr>
                    <w:tc>
                      <w:tcPr>
                        <w:tcW w:w="0" w:type="auto"/>
                        <w:vAlign w:val="center"/>
                        <w:hideMark/>
                      </w:tcPr>
                      <w:p w:rsidR="00B43833" w:rsidRPr="00B43833" w:rsidRDefault="00B43833" w:rsidP="00B43833">
                        <w:pPr>
                          <w:rPr>
                            <w:rFonts w:asciiTheme="minorHAnsi" w:hAnsiTheme="minorHAnsi"/>
                            <w:sz w:val="20"/>
                            <w:szCs w:val="20"/>
                            <w:lang w:val="el-GR"/>
                          </w:rPr>
                        </w:pPr>
                      </w:p>
                    </w:tc>
                    <w:tc>
                      <w:tcPr>
                        <w:tcW w:w="0" w:type="auto"/>
                        <w:vAlign w:val="center"/>
                        <w:hideMark/>
                      </w:tcPr>
                      <w:p w:rsidR="00B43833" w:rsidRPr="00B43833" w:rsidRDefault="00B43833" w:rsidP="00B43833">
                        <w:pPr>
                          <w:rPr>
                            <w:rFonts w:asciiTheme="minorHAnsi" w:hAnsiTheme="minorHAnsi"/>
                            <w:sz w:val="20"/>
                            <w:szCs w:val="20"/>
                          </w:rPr>
                        </w:pPr>
                        <w:r w:rsidRPr="00B43833">
                          <w:rPr>
                            <w:rStyle w:val="Emphasis"/>
                            <w:rFonts w:asciiTheme="minorHAnsi" w:hAnsiTheme="minorHAnsi"/>
                            <w:b/>
                            <w:bCs/>
                            <w:sz w:val="20"/>
                            <w:szCs w:val="20"/>
                          </w:rPr>
                          <w:t>125 hours (5 ECTS)</w:t>
                        </w:r>
                      </w:p>
                    </w:tc>
                  </w:tr>
                </w:tbl>
                <w:p w:rsidR="00CC1EC5" w:rsidRPr="00B43833" w:rsidRDefault="00CC1EC5" w:rsidP="00E30CBA">
                  <w:pPr>
                    <w:jc w:val="center"/>
                    <w:rPr>
                      <w:rFonts w:asciiTheme="minorHAnsi" w:hAnsiTheme="minorHAnsi" w:cs="Arial"/>
                      <w:b/>
                      <w:i/>
                      <w:sz w:val="20"/>
                      <w:szCs w:val="20"/>
                      <w:lang w:val="en-GB"/>
                    </w:rPr>
                  </w:pPr>
                </w:p>
              </w:tc>
            </w:tr>
          </w:tbl>
          <w:p w:rsidR="00CC1EC5" w:rsidRPr="00B43833" w:rsidRDefault="00CC1EC5" w:rsidP="00E30CBA">
            <w:pPr>
              <w:rPr>
                <w:rFonts w:asciiTheme="majorHAnsi" w:hAnsiTheme="majorHAnsi" w:cs="Tahoma"/>
                <w:sz w:val="20"/>
                <w:szCs w:val="20"/>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xml:space="preserve">Language of evaluation, methods of evaluation, summative or conclusive, multiple choice questionnaires, short-answer questions, open-ended questions, problem solving, written work, essay/report, oral examination, public </w:t>
            </w:r>
            <w:r w:rsidRPr="006403CB">
              <w:rPr>
                <w:rFonts w:asciiTheme="majorHAnsi" w:hAnsiTheme="majorHAnsi" w:cs="Arial"/>
                <w:i/>
                <w:sz w:val="16"/>
                <w:szCs w:val="16"/>
                <w:lang w:val="en-GB"/>
              </w:rPr>
              <w:lastRenderedPageBreak/>
              <w:t>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Pr="006403CB" w:rsidRDefault="00CC1EC5" w:rsidP="00E30CBA">
            <w:pPr>
              <w:rPr>
                <w:rFonts w:asciiTheme="majorHAnsi" w:hAnsiTheme="majorHAnsi" w:cs="Arial"/>
                <w:color w:val="002060"/>
                <w:lang w:val="en-GB"/>
              </w:rPr>
            </w:pPr>
          </w:p>
          <w:p w:rsidR="00CC1EC5" w:rsidRPr="006403CB" w:rsidRDefault="00A87A62" w:rsidP="00385D08">
            <w:pPr>
              <w:rPr>
                <w:rFonts w:asciiTheme="majorHAnsi" w:hAnsiTheme="majorHAnsi" w:cs="Arial"/>
                <w:color w:val="002060"/>
                <w:lang w:val="en-GB"/>
              </w:rPr>
            </w:pPr>
            <w:r>
              <w:rPr>
                <w:rFonts w:asciiTheme="minorHAnsi" w:hAnsiTheme="minorHAnsi" w:cs="Arial"/>
                <w:sz w:val="20"/>
                <w:szCs w:val="20"/>
              </w:rPr>
              <w:t>Students are examined in Greek. They are invited to give short answers to a small number of questions.</w:t>
            </w:r>
          </w:p>
        </w:tc>
      </w:tr>
    </w:tbl>
    <w:p w:rsidR="00385D08" w:rsidRDefault="00385D08" w:rsidP="00385D08">
      <w:pPr>
        <w:widowControl w:val="0"/>
        <w:autoSpaceDE w:val="0"/>
        <w:autoSpaceDN w:val="0"/>
        <w:adjustRightInd w:val="0"/>
        <w:spacing w:before="240" w:after="200" w:line="276" w:lineRule="auto"/>
        <w:ind w:left="357"/>
        <w:rPr>
          <w:rFonts w:asciiTheme="majorHAnsi" w:hAnsiTheme="majorHAnsi" w:cs="Arial"/>
          <w:b/>
          <w:color w:val="000000"/>
          <w:sz w:val="22"/>
          <w:szCs w:val="22"/>
          <w:lang w:val="en-GB"/>
        </w:rPr>
      </w:pPr>
    </w:p>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7A035D" w:rsidTr="00E30CBA">
        <w:tc>
          <w:tcPr>
            <w:tcW w:w="8472" w:type="dxa"/>
          </w:tcPr>
          <w:p w:rsidR="002E39CB" w:rsidRPr="004E5708" w:rsidRDefault="002E39CB" w:rsidP="002E39CB">
            <w:pPr>
              <w:rPr>
                <w:rFonts w:asciiTheme="minorHAnsi" w:hAnsiTheme="minorHAnsi" w:cstheme="minorHAnsi"/>
                <w:i/>
                <w:sz w:val="20"/>
                <w:szCs w:val="20"/>
              </w:rPr>
            </w:pPr>
            <w:r w:rsidRPr="004E5708">
              <w:rPr>
                <w:rFonts w:asciiTheme="minorHAnsi" w:hAnsiTheme="minorHAnsi" w:cstheme="minorHAnsi"/>
                <w:i/>
                <w:sz w:val="20"/>
                <w:szCs w:val="20"/>
              </w:rPr>
              <w:t>Suggested bibliography:</w:t>
            </w:r>
          </w:p>
          <w:p w:rsidR="005E0AE9" w:rsidRPr="009C030E" w:rsidRDefault="005E0AE9" w:rsidP="005E0AE9">
            <w:pPr>
              <w:jc w:val="both"/>
              <w:rPr>
                <w:rFonts w:ascii="Calibri" w:hAnsi="Calibri" w:cs="Arial"/>
                <w:sz w:val="20"/>
                <w:szCs w:val="20"/>
                <w:lang w:val="el-GR"/>
              </w:rPr>
            </w:pPr>
            <w:r w:rsidRPr="009C030E">
              <w:rPr>
                <w:rFonts w:ascii="Calibri" w:hAnsi="Calibri" w:cs="Arial"/>
                <w:sz w:val="20"/>
                <w:szCs w:val="20"/>
                <w:lang w:val="el-GR"/>
              </w:rPr>
              <w:t xml:space="preserve">Βελούδης, Γ. 2005. </w:t>
            </w:r>
            <w:r w:rsidRPr="009C030E">
              <w:rPr>
                <w:rFonts w:ascii="Calibri" w:hAnsi="Calibri" w:cs="Arial"/>
                <w:i/>
                <w:sz w:val="20"/>
                <w:szCs w:val="20"/>
                <w:lang w:val="el-GR"/>
              </w:rPr>
              <w:t>Η σημασία πριν, κατά και μετά τη γλώσσα</w:t>
            </w:r>
            <w:r w:rsidRPr="009C030E">
              <w:rPr>
                <w:rFonts w:ascii="Calibri" w:hAnsi="Calibri" w:cs="Arial"/>
                <w:sz w:val="20"/>
                <w:szCs w:val="20"/>
                <w:lang w:val="el-GR"/>
              </w:rPr>
              <w:t xml:space="preserve">. Εκδόσεις Κριτική.  </w:t>
            </w:r>
          </w:p>
          <w:p w:rsidR="005E0AE9" w:rsidRPr="009C030E" w:rsidRDefault="005E0AE9" w:rsidP="005E0AE9">
            <w:pPr>
              <w:jc w:val="both"/>
              <w:rPr>
                <w:rFonts w:ascii="Calibri" w:hAnsi="Calibri" w:cs="Arial"/>
                <w:sz w:val="20"/>
                <w:szCs w:val="20"/>
                <w:lang w:val="el-GR"/>
              </w:rPr>
            </w:pPr>
            <w:r w:rsidRPr="009C030E">
              <w:rPr>
                <w:rFonts w:ascii="Calibri" w:hAnsi="Calibri" w:cs="Arial"/>
                <w:sz w:val="20"/>
                <w:szCs w:val="20"/>
                <w:lang w:val="el-GR"/>
              </w:rPr>
              <w:t xml:space="preserve">Lyons, J. 1995. </w:t>
            </w:r>
            <w:r w:rsidRPr="009C030E">
              <w:rPr>
                <w:rFonts w:ascii="Calibri" w:hAnsi="Calibri" w:cs="Arial"/>
                <w:i/>
                <w:sz w:val="20"/>
                <w:szCs w:val="20"/>
                <w:lang w:val="el-GR"/>
              </w:rPr>
              <w:t>Γλωσσολογική Σημασιολογία</w:t>
            </w:r>
            <w:r w:rsidRPr="009C030E">
              <w:rPr>
                <w:rFonts w:ascii="Calibri" w:hAnsi="Calibri" w:cs="Arial"/>
                <w:sz w:val="20"/>
                <w:szCs w:val="20"/>
                <w:lang w:val="el-GR"/>
              </w:rPr>
              <w:t xml:space="preserve">. Αθήνα: Πατάκης. • Σημειώσεις του μαθήματος.   </w:t>
            </w:r>
          </w:p>
          <w:p w:rsidR="005E0AE9" w:rsidRPr="009C030E" w:rsidRDefault="005E0AE9" w:rsidP="005E0AE9">
            <w:pPr>
              <w:jc w:val="both"/>
              <w:rPr>
                <w:rFonts w:ascii="Calibri" w:hAnsi="Calibri" w:cs="Arial"/>
                <w:sz w:val="20"/>
                <w:szCs w:val="20"/>
                <w:lang w:val="el-GR"/>
              </w:rPr>
            </w:pPr>
            <w:r w:rsidRPr="009C030E">
              <w:rPr>
                <w:rFonts w:ascii="Calibri" w:hAnsi="Calibri" w:cs="Arial"/>
                <w:i/>
                <w:sz w:val="20"/>
                <w:szCs w:val="20"/>
                <w:lang w:val="el-GR"/>
              </w:rPr>
              <w:t>Σημειώσεις του μαθήματος</w:t>
            </w:r>
          </w:p>
          <w:p w:rsidR="002E39CB" w:rsidRPr="005E0AE9" w:rsidRDefault="002E39CB" w:rsidP="002E39CB">
            <w:pPr>
              <w:rPr>
                <w:rFonts w:asciiTheme="minorHAnsi" w:hAnsiTheme="minorHAnsi" w:cstheme="minorHAnsi"/>
                <w:b/>
                <w:sz w:val="20"/>
                <w:szCs w:val="20"/>
                <w:lang w:val="el-GR"/>
              </w:rPr>
            </w:pPr>
          </w:p>
          <w:p w:rsidR="002E39CB" w:rsidRPr="005E0AE9" w:rsidRDefault="002E39CB" w:rsidP="002E39CB">
            <w:pPr>
              <w:rPr>
                <w:rFonts w:asciiTheme="minorHAnsi" w:hAnsiTheme="minorHAnsi" w:cstheme="minorHAnsi"/>
                <w:i/>
                <w:sz w:val="20"/>
                <w:szCs w:val="20"/>
                <w:lang w:val="el-GR"/>
              </w:rPr>
            </w:pPr>
            <w:r w:rsidRPr="004E5708">
              <w:rPr>
                <w:rFonts w:asciiTheme="minorHAnsi" w:hAnsiTheme="minorHAnsi" w:cstheme="minorHAnsi"/>
                <w:i/>
                <w:sz w:val="20"/>
                <w:szCs w:val="20"/>
              </w:rPr>
              <w:t>Related</w:t>
            </w:r>
            <w:r w:rsidRPr="005E0AE9">
              <w:rPr>
                <w:rFonts w:asciiTheme="minorHAnsi" w:hAnsiTheme="minorHAnsi" w:cstheme="minorHAnsi"/>
                <w:i/>
                <w:sz w:val="20"/>
                <w:szCs w:val="20"/>
                <w:lang w:val="el-GR"/>
              </w:rPr>
              <w:t xml:space="preserve"> </w:t>
            </w:r>
            <w:r w:rsidRPr="004E5708">
              <w:rPr>
                <w:rFonts w:asciiTheme="minorHAnsi" w:hAnsiTheme="minorHAnsi" w:cstheme="minorHAnsi"/>
                <w:i/>
                <w:sz w:val="20"/>
                <w:szCs w:val="20"/>
              </w:rPr>
              <w:t>academic</w:t>
            </w:r>
            <w:r w:rsidRPr="005E0AE9">
              <w:rPr>
                <w:rFonts w:asciiTheme="minorHAnsi" w:hAnsiTheme="minorHAnsi" w:cstheme="minorHAnsi"/>
                <w:i/>
                <w:sz w:val="20"/>
                <w:szCs w:val="20"/>
                <w:lang w:val="el-GR"/>
              </w:rPr>
              <w:t xml:space="preserve"> </w:t>
            </w:r>
            <w:r w:rsidRPr="004E5708">
              <w:rPr>
                <w:rFonts w:asciiTheme="minorHAnsi" w:hAnsiTheme="minorHAnsi" w:cstheme="minorHAnsi"/>
                <w:i/>
                <w:sz w:val="20"/>
                <w:szCs w:val="20"/>
              </w:rPr>
              <w:t>journals</w:t>
            </w:r>
            <w:r w:rsidRPr="005E0AE9">
              <w:rPr>
                <w:rFonts w:asciiTheme="minorHAnsi" w:hAnsiTheme="minorHAnsi" w:cstheme="minorHAnsi"/>
                <w:i/>
                <w:sz w:val="20"/>
                <w:szCs w:val="20"/>
                <w:lang w:val="el-GR"/>
              </w:rPr>
              <w:t xml:space="preserve">: </w:t>
            </w:r>
          </w:p>
          <w:p w:rsidR="005E0AE9" w:rsidRPr="009C030E" w:rsidRDefault="005E0AE9" w:rsidP="005E0AE9">
            <w:pPr>
              <w:jc w:val="both"/>
              <w:rPr>
                <w:rFonts w:ascii="Calibri" w:hAnsi="Calibri" w:cs="Arial"/>
                <w:sz w:val="20"/>
                <w:szCs w:val="20"/>
              </w:rPr>
            </w:pPr>
            <w:proofErr w:type="spellStart"/>
            <w:r w:rsidRPr="009C030E">
              <w:rPr>
                <w:rFonts w:ascii="Calibri" w:hAnsi="Calibri" w:cs="Arial"/>
                <w:sz w:val="20"/>
                <w:szCs w:val="20"/>
              </w:rPr>
              <w:t>Aoun</w:t>
            </w:r>
            <w:proofErr w:type="spellEnd"/>
            <w:r w:rsidRPr="005E0AE9">
              <w:rPr>
                <w:rFonts w:ascii="Calibri" w:hAnsi="Calibri" w:cs="Arial"/>
                <w:sz w:val="20"/>
                <w:szCs w:val="20"/>
                <w:lang w:val="el-GR"/>
              </w:rPr>
              <w:t xml:space="preserve"> </w:t>
            </w:r>
            <w:r w:rsidRPr="009C030E">
              <w:rPr>
                <w:rFonts w:ascii="Calibri" w:hAnsi="Calibri" w:cs="Arial"/>
                <w:sz w:val="20"/>
                <w:szCs w:val="20"/>
              </w:rPr>
              <w:t>J</w:t>
            </w:r>
            <w:r w:rsidRPr="005E0AE9">
              <w:rPr>
                <w:rFonts w:ascii="Calibri" w:hAnsi="Calibri" w:cs="Arial"/>
                <w:sz w:val="20"/>
                <w:szCs w:val="20"/>
                <w:lang w:val="el-GR"/>
              </w:rPr>
              <w:t xml:space="preserve">. </w:t>
            </w:r>
            <w:r w:rsidRPr="009C030E">
              <w:rPr>
                <w:rFonts w:ascii="Calibri" w:hAnsi="Calibri" w:cs="Arial"/>
                <w:sz w:val="20"/>
                <w:szCs w:val="20"/>
              </w:rPr>
              <w:t>E</w:t>
            </w:r>
            <w:r w:rsidRPr="005E0AE9">
              <w:rPr>
                <w:rFonts w:ascii="Calibri" w:hAnsi="Calibri" w:cs="Arial"/>
                <w:sz w:val="20"/>
                <w:szCs w:val="20"/>
                <w:lang w:val="el-GR"/>
              </w:rPr>
              <w:t xml:space="preserve">., </w:t>
            </w:r>
            <w:proofErr w:type="spellStart"/>
            <w:r w:rsidRPr="009C030E">
              <w:rPr>
                <w:rFonts w:ascii="Calibri" w:hAnsi="Calibri" w:cs="Arial"/>
                <w:sz w:val="20"/>
                <w:szCs w:val="20"/>
              </w:rPr>
              <w:t>Benmamoun</w:t>
            </w:r>
            <w:proofErr w:type="spellEnd"/>
            <w:r w:rsidRPr="005E0AE9">
              <w:rPr>
                <w:rFonts w:ascii="Calibri" w:hAnsi="Calibri" w:cs="Arial"/>
                <w:sz w:val="20"/>
                <w:szCs w:val="20"/>
                <w:lang w:val="el-GR"/>
              </w:rPr>
              <w:t xml:space="preserve">, </w:t>
            </w:r>
            <w:r w:rsidRPr="009C030E">
              <w:rPr>
                <w:rFonts w:ascii="Calibri" w:hAnsi="Calibri" w:cs="Arial"/>
                <w:sz w:val="20"/>
                <w:szCs w:val="20"/>
              </w:rPr>
              <w:t>E</w:t>
            </w:r>
            <w:r w:rsidRPr="005E0AE9">
              <w:rPr>
                <w:rFonts w:ascii="Calibri" w:hAnsi="Calibri" w:cs="Arial"/>
                <w:sz w:val="20"/>
                <w:szCs w:val="20"/>
                <w:lang w:val="el-GR"/>
              </w:rPr>
              <w:t xml:space="preserve">., </w:t>
            </w:r>
            <w:r w:rsidRPr="009C030E">
              <w:rPr>
                <w:rFonts w:ascii="Calibri" w:hAnsi="Calibri" w:cs="Arial"/>
                <w:sz w:val="20"/>
                <w:szCs w:val="20"/>
              </w:rPr>
              <w:t>Choueiri</w:t>
            </w:r>
            <w:r w:rsidRPr="005E0AE9">
              <w:rPr>
                <w:rFonts w:ascii="Calibri" w:hAnsi="Calibri" w:cs="Arial"/>
                <w:sz w:val="20"/>
                <w:szCs w:val="20"/>
                <w:lang w:val="el-GR"/>
              </w:rPr>
              <w:t xml:space="preserve">, </w:t>
            </w:r>
            <w:r w:rsidRPr="009C030E">
              <w:rPr>
                <w:rFonts w:ascii="Calibri" w:hAnsi="Calibri" w:cs="Arial"/>
                <w:sz w:val="20"/>
                <w:szCs w:val="20"/>
              </w:rPr>
              <w:t>L</w:t>
            </w:r>
            <w:r w:rsidRPr="005E0AE9">
              <w:rPr>
                <w:rFonts w:ascii="Calibri" w:hAnsi="Calibri" w:cs="Arial"/>
                <w:sz w:val="20"/>
                <w:szCs w:val="20"/>
                <w:lang w:val="el-GR"/>
              </w:rPr>
              <w:t>. 2011</w:t>
            </w:r>
            <w:r w:rsidRPr="005E0AE9">
              <w:rPr>
                <w:rFonts w:ascii="Calibri" w:hAnsi="Calibri" w:cs="Arial"/>
                <w:i/>
                <w:sz w:val="20"/>
                <w:szCs w:val="20"/>
                <w:lang w:val="el-GR"/>
              </w:rPr>
              <w:t xml:space="preserve">. </w:t>
            </w:r>
            <w:r w:rsidRPr="009C030E">
              <w:rPr>
                <w:rFonts w:ascii="Calibri" w:hAnsi="Calibri" w:cs="Arial"/>
                <w:i/>
                <w:sz w:val="20"/>
                <w:szCs w:val="20"/>
              </w:rPr>
              <w:t>The Syntax of Arabic</w:t>
            </w:r>
            <w:r w:rsidRPr="009C030E">
              <w:rPr>
                <w:rFonts w:ascii="Calibri" w:hAnsi="Calibri" w:cs="Arial"/>
                <w:sz w:val="20"/>
                <w:szCs w:val="20"/>
              </w:rPr>
              <w:t xml:space="preserve">. Cambridge Syntax guide.  </w:t>
            </w:r>
          </w:p>
          <w:p w:rsidR="005E0AE9" w:rsidRPr="009C030E" w:rsidRDefault="005E0AE9" w:rsidP="005E0AE9">
            <w:pPr>
              <w:jc w:val="both"/>
              <w:rPr>
                <w:rFonts w:ascii="Calibri" w:hAnsi="Calibri" w:cs="Arial"/>
                <w:sz w:val="20"/>
                <w:szCs w:val="20"/>
              </w:rPr>
            </w:pPr>
            <w:r w:rsidRPr="009C030E">
              <w:rPr>
                <w:rFonts w:ascii="Calibri" w:hAnsi="Calibri" w:cs="Arial"/>
                <w:sz w:val="20"/>
                <w:szCs w:val="20"/>
              </w:rPr>
              <w:t xml:space="preserve">Baker, C. L. 1970. </w:t>
            </w:r>
            <w:r w:rsidRPr="009C030E">
              <w:rPr>
                <w:rFonts w:ascii="Calibri" w:hAnsi="Calibri" w:cs="Arial"/>
                <w:i/>
                <w:sz w:val="20"/>
                <w:szCs w:val="20"/>
              </w:rPr>
              <w:t>Double negatives</w:t>
            </w:r>
            <w:r w:rsidRPr="009C030E">
              <w:rPr>
                <w:rFonts w:ascii="Calibri" w:hAnsi="Calibri" w:cs="Arial"/>
                <w:sz w:val="20"/>
                <w:szCs w:val="20"/>
              </w:rPr>
              <w:t xml:space="preserve">. Linguistic Inquiry 1, 169-186.  </w:t>
            </w:r>
          </w:p>
          <w:p w:rsidR="005E0AE9" w:rsidRPr="009C030E" w:rsidRDefault="005E0AE9" w:rsidP="005E0AE9">
            <w:pPr>
              <w:jc w:val="both"/>
              <w:rPr>
                <w:rFonts w:ascii="Calibri" w:hAnsi="Calibri" w:cs="Arial"/>
                <w:sz w:val="20"/>
                <w:szCs w:val="20"/>
              </w:rPr>
            </w:pPr>
            <w:r w:rsidRPr="009C030E">
              <w:rPr>
                <w:rFonts w:ascii="Calibri" w:hAnsi="Calibri" w:cs="Arial"/>
                <w:sz w:val="20"/>
                <w:szCs w:val="20"/>
              </w:rPr>
              <w:t xml:space="preserve">Bernini, G. and Ramat, P. 1996. </w:t>
            </w:r>
            <w:r w:rsidRPr="009C030E">
              <w:rPr>
                <w:rFonts w:ascii="Calibri" w:hAnsi="Calibri" w:cs="Arial"/>
                <w:i/>
                <w:sz w:val="20"/>
                <w:szCs w:val="20"/>
              </w:rPr>
              <w:t>Negative Sentences in the Languages of Europe: A Typological Approach</w:t>
            </w:r>
            <w:r w:rsidRPr="009C030E">
              <w:rPr>
                <w:rFonts w:ascii="Calibri" w:hAnsi="Calibri" w:cs="Arial"/>
                <w:sz w:val="20"/>
                <w:szCs w:val="20"/>
              </w:rPr>
              <w:t xml:space="preserve">, Mouton de </w:t>
            </w:r>
            <w:proofErr w:type="spellStart"/>
            <w:r w:rsidRPr="009C030E">
              <w:rPr>
                <w:rFonts w:ascii="Calibri" w:hAnsi="Calibri" w:cs="Arial"/>
                <w:sz w:val="20"/>
                <w:szCs w:val="20"/>
              </w:rPr>
              <w:t>Gruyter</w:t>
            </w:r>
            <w:proofErr w:type="spellEnd"/>
            <w:r w:rsidRPr="009C030E">
              <w:rPr>
                <w:rFonts w:ascii="Calibri" w:hAnsi="Calibri" w:cs="Arial"/>
                <w:sz w:val="20"/>
                <w:szCs w:val="20"/>
              </w:rPr>
              <w:t xml:space="preserve">.   </w:t>
            </w:r>
            <w:r w:rsidRPr="009C030E">
              <w:rPr>
                <w:rFonts w:ascii="Calibri" w:hAnsi="Calibri" w:cs="Arial"/>
                <w:sz w:val="20"/>
                <w:szCs w:val="20"/>
                <w:lang w:val="el-GR"/>
              </w:rPr>
              <w:t xml:space="preserve">Βλάχου, Ε. 2012. Το γλωσσικό φαινόμενο της άρνησης στην Ελληνική, Τουρκική και Εβραϊκή: γλωσσολογική θεωρία και γλωσσική πολιτική. Στο </w:t>
            </w:r>
            <w:r w:rsidRPr="009C030E">
              <w:rPr>
                <w:rFonts w:ascii="Calibri" w:hAnsi="Calibri" w:cs="Arial"/>
                <w:i/>
                <w:sz w:val="20"/>
                <w:szCs w:val="20"/>
                <w:lang w:val="el-GR"/>
              </w:rPr>
              <w:t>Διεθνής και ευρωπαϊκή πολιτική. Η Μεσόγειος χθες και σήμερα</w:t>
            </w:r>
            <w:r w:rsidRPr="009C030E">
              <w:rPr>
                <w:rFonts w:ascii="Calibri" w:hAnsi="Calibri" w:cs="Arial"/>
                <w:sz w:val="20"/>
                <w:szCs w:val="20"/>
                <w:lang w:val="el-GR"/>
              </w:rPr>
              <w:t xml:space="preserve">. </w:t>
            </w:r>
            <w:proofErr w:type="spellStart"/>
            <w:r w:rsidRPr="009C030E">
              <w:rPr>
                <w:rFonts w:ascii="Calibri" w:hAnsi="Calibri" w:cs="Arial"/>
                <w:sz w:val="20"/>
                <w:szCs w:val="20"/>
              </w:rPr>
              <w:t>Εκδόσεις</w:t>
            </w:r>
            <w:proofErr w:type="spellEnd"/>
            <w:r w:rsidRPr="009C030E">
              <w:rPr>
                <w:rFonts w:ascii="Calibri" w:hAnsi="Calibri" w:cs="Arial"/>
                <w:sz w:val="20"/>
                <w:szCs w:val="20"/>
              </w:rPr>
              <w:t xml:space="preserve"> Παπα</w:t>
            </w:r>
            <w:proofErr w:type="spellStart"/>
            <w:r w:rsidRPr="009C030E">
              <w:rPr>
                <w:rFonts w:ascii="Calibri" w:hAnsi="Calibri" w:cs="Arial"/>
                <w:sz w:val="20"/>
                <w:szCs w:val="20"/>
              </w:rPr>
              <w:t>ζήση</w:t>
            </w:r>
            <w:proofErr w:type="spellEnd"/>
            <w:r w:rsidRPr="009C030E">
              <w:rPr>
                <w:rFonts w:ascii="Calibri" w:hAnsi="Calibri" w:cs="Arial"/>
                <w:sz w:val="20"/>
                <w:szCs w:val="20"/>
              </w:rPr>
              <w:t xml:space="preserve">.  </w:t>
            </w:r>
          </w:p>
          <w:p w:rsidR="005E0AE9" w:rsidRPr="009C030E" w:rsidRDefault="005E0AE9" w:rsidP="005E0AE9">
            <w:pPr>
              <w:jc w:val="both"/>
              <w:rPr>
                <w:rFonts w:ascii="Calibri" w:hAnsi="Calibri" w:cs="Arial"/>
                <w:sz w:val="20"/>
                <w:szCs w:val="20"/>
              </w:rPr>
            </w:pPr>
            <w:r w:rsidRPr="009C030E">
              <w:rPr>
                <w:rFonts w:ascii="Calibri" w:hAnsi="Calibri" w:cs="Arial"/>
                <w:sz w:val="20"/>
                <w:szCs w:val="20"/>
              </w:rPr>
              <w:t>Chomsky, N. 1965</w:t>
            </w:r>
            <w:r w:rsidRPr="009C030E">
              <w:rPr>
                <w:rFonts w:ascii="Calibri" w:hAnsi="Calibri" w:cs="Arial"/>
                <w:i/>
                <w:sz w:val="20"/>
                <w:szCs w:val="20"/>
              </w:rPr>
              <w:t>. Aspects of the theory of syntax</w:t>
            </w:r>
            <w:r w:rsidRPr="009C030E">
              <w:rPr>
                <w:rFonts w:ascii="Calibri" w:hAnsi="Calibri" w:cs="Arial"/>
                <w:sz w:val="20"/>
                <w:szCs w:val="20"/>
              </w:rPr>
              <w:t>. Cambridge. Mass: MIT Press.</w:t>
            </w:r>
          </w:p>
          <w:p w:rsidR="005E0AE9" w:rsidRPr="009C030E" w:rsidRDefault="005E0AE9" w:rsidP="005E0AE9">
            <w:pPr>
              <w:jc w:val="both"/>
              <w:rPr>
                <w:rFonts w:ascii="Calibri" w:hAnsi="Calibri" w:cs="Arial"/>
                <w:sz w:val="20"/>
                <w:szCs w:val="20"/>
                <w:lang w:val="el-GR"/>
              </w:rPr>
            </w:pPr>
            <w:proofErr w:type="spellStart"/>
            <w:r w:rsidRPr="009C030E">
              <w:rPr>
                <w:rFonts w:ascii="Calibri" w:hAnsi="Calibri" w:cs="Arial"/>
                <w:sz w:val="20"/>
                <w:szCs w:val="20"/>
              </w:rPr>
              <w:t>Comrie</w:t>
            </w:r>
            <w:proofErr w:type="spellEnd"/>
            <w:r w:rsidRPr="009C030E">
              <w:rPr>
                <w:rFonts w:ascii="Calibri" w:hAnsi="Calibri" w:cs="Arial"/>
                <w:sz w:val="20"/>
                <w:szCs w:val="20"/>
              </w:rPr>
              <w:t xml:space="preserve">, B. Matthews, S. and </w:t>
            </w:r>
            <w:proofErr w:type="spellStart"/>
            <w:r w:rsidRPr="009C030E">
              <w:rPr>
                <w:rFonts w:ascii="Calibri" w:hAnsi="Calibri" w:cs="Arial"/>
                <w:sz w:val="20"/>
                <w:szCs w:val="20"/>
              </w:rPr>
              <w:t>Polinsky</w:t>
            </w:r>
            <w:proofErr w:type="spellEnd"/>
            <w:r w:rsidRPr="009C030E">
              <w:rPr>
                <w:rFonts w:ascii="Calibri" w:hAnsi="Calibri" w:cs="Arial"/>
                <w:sz w:val="20"/>
                <w:szCs w:val="20"/>
              </w:rPr>
              <w:t xml:space="preserve">, M. 2004. </w:t>
            </w:r>
            <w:r w:rsidRPr="009C030E">
              <w:rPr>
                <w:rFonts w:ascii="Calibri" w:hAnsi="Calibri" w:cs="Arial"/>
                <w:i/>
                <w:sz w:val="20"/>
                <w:szCs w:val="20"/>
                <w:lang w:val="el-GR"/>
              </w:rPr>
              <w:t>Οι γλώσσες του κόσμου</w:t>
            </w:r>
            <w:r w:rsidRPr="009C030E">
              <w:rPr>
                <w:rFonts w:ascii="Calibri" w:hAnsi="Calibri" w:cs="Arial"/>
                <w:sz w:val="20"/>
                <w:szCs w:val="20"/>
                <w:lang w:val="el-GR"/>
              </w:rPr>
              <w:t xml:space="preserve">. Εκδόσεις Σαββάλας.  </w:t>
            </w:r>
          </w:p>
          <w:p w:rsidR="005E0AE9" w:rsidRPr="009C030E" w:rsidRDefault="005E0AE9" w:rsidP="005E0AE9">
            <w:pPr>
              <w:jc w:val="both"/>
              <w:rPr>
                <w:rFonts w:ascii="Calibri" w:hAnsi="Calibri" w:cs="Arial"/>
                <w:sz w:val="20"/>
                <w:szCs w:val="20"/>
              </w:rPr>
            </w:pPr>
            <w:proofErr w:type="spellStart"/>
            <w:r w:rsidRPr="009C030E">
              <w:rPr>
                <w:rFonts w:ascii="Calibri" w:hAnsi="Calibri" w:cs="Arial"/>
                <w:sz w:val="20"/>
                <w:szCs w:val="20"/>
                <w:lang w:val="fr-FR"/>
              </w:rPr>
              <w:t>Corblin</w:t>
            </w:r>
            <w:proofErr w:type="spellEnd"/>
            <w:r w:rsidRPr="009C030E">
              <w:rPr>
                <w:rFonts w:ascii="Calibri" w:hAnsi="Calibri" w:cs="Arial"/>
                <w:sz w:val="20"/>
                <w:szCs w:val="20"/>
                <w:lang w:val="fr-FR"/>
              </w:rPr>
              <w:t xml:space="preserve">, F. &amp; H. de Swart, 2004. </w:t>
            </w:r>
            <w:r w:rsidRPr="009C030E">
              <w:rPr>
                <w:rFonts w:ascii="Calibri" w:hAnsi="Calibri" w:cs="Arial"/>
                <w:i/>
                <w:sz w:val="20"/>
                <w:szCs w:val="20"/>
              </w:rPr>
              <w:t>Handbook of French semantics</w:t>
            </w:r>
            <w:r w:rsidRPr="009C030E">
              <w:rPr>
                <w:rFonts w:ascii="Calibri" w:hAnsi="Calibri" w:cs="Arial"/>
                <w:sz w:val="20"/>
                <w:szCs w:val="20"/>
              </w:rPr>
              <w:t xml:space="preserve">. CSLI publications.  </w:t>
            </w:r>
          </w:p>
          <w:p w:rsidR="005E0AE9" w:rsidRPr="009C030E" w:rsidRDefault="005E0AE9" w:rsidP="005E0AE9">
            <w:pPr>
              <w:jc w:val="both"/>
              <w:rPr>
                <w:rFonts w:ascii="Calibri" w:hAnsi="Calibri" w:cs="Arial"/>
                <w:sz w:val="20"/>
                <w:szCs w:val="20"/>
              </w:rPr>
            </w:pPr>
            <w:proofErr w:type="spellStart"/>
            <w:r w:rsidRPr="009C030E">
              <w:rPr>
                <w:rFonts w:ascii="Calibri" w:hAnsi="Calibri" w:cs="Arial"/>
                <w:sz w:val="20"/>
                <w:szCs w:val="20"/>
              </w:rPr>
              <w:t>Giannakidou</w:t>
            </w:r>
            <w:proofErr w:type="spellEnd"/>
            <w:r w:rsidRPr="009C030E">
              <w:rPr>
                <w:rFonts w:ascii="Calibri" w:hAnsi="Calibri" w:cs="Arial"/>
                <w:sz w:val="20"/>
                <w:szCs w:val="20"/>
              </w:rPr>
              <w:t xml:space="preserve">, Anastasia. 2000. Negative…concord? </w:t>
            </w:r>
            <w:proofErr w:type="spellStart"/>
            <w:r w:rsidRPr="009C030E">
              <w:rPr>
                <w:rFonts w:ascii="Calibri" w:hAnsi="Calibri" w:cs="Arial"/>
                <w:sz w:val="20"/>
                <w:szCs w:val="20"/>
              </w:rPr>
              <w:t>Στο</w:t>
            </w:r>
            <w:proofErr w:type="spellEnd"/>
            <w:r w:rsidRPr="009C030E">
              <w:rPr>
                <w:rFonts w:ascii="Calibri" w:hAnsi="Calibri" w:cs="Arial"/>
                <w:sz w:val="20"/>
                <w:szCs w:val="20"/>
              </w:rPr>
              <w:t xml:space="preserve"> </w:t>
            </w:r>
            <w:r w:rsidRPr="009C030E">
              <w:rPr>
                <w:rFonts w:ascii="Calibri" w:hAnsi="Calibri" w:cs="Arial"/>
                <w:i/>
                <w:sz w:val="20"/>
                <w:szCs w:val="20"/>
              </w:rPr>
              <w:t>Natural language and linguistic theory</w:t>
            </w:r>
            <w:r w:rsidRPr="009C030E">
              <w:rPr>
                <w:rFonts w:ascii="Calibri" w:hAnsi="Calibri" w:cs="Arial"/>
                <w:sz w:val="20"/>
                <w:szCs w:val="20"/>
              </w:rPr>
              <w:t xml:space="preserve">. 457-523.  </w:t>
            </w:r>
          </w:p>
          <w:p w:rsidR="005E0AE9" w:rsidRPr="009C030E" w:rsidRDefault="005E0AE9" w:rsidP="005E0AE9">
            <w:pPr>
              <w:jc w:val="both"/>
              <w:rPr>
                <w:rFonts w:ascii="Calibri" w:hAnsi="Calibri" w:cs="Arial"/>
                <w:sz w:val="20"/>
                <w:szCs w:val="20"/>
              </w:rPr>
            </w:pPr>
            <w:proofErr w:type="spellStart"/>
            <w:r w:rsidRPr="009C030E">
              <w:rPr>
                <w:rFonts w:ascii="Calibri" w:hAnsi="Calibri" w:cs="Arial"/>
                <w:sz w:val="20"/>
                <w:szCs w:val="20"/>
              </w:rPr>
              <w:t>Glinert</w:t>
            </w:r>
            <w:proofErr w:type="spellEnd"/>
            <w:r w:rsidRPr="009C030E">
              <w:rPr>
                <w:rFonts w:ascii="Calibri" w:hAnsi="Calibri" w:cs="Arial"/>
                <w:sz w:val="20"/>
                <w:szCs w:val="20"/>
              </w:rPr>
              <w:t xml:space="preserve">, L. 1989. </w:t>
            </w:r>
            <w:r w:rsidRPr="009C030E">
              <w:rPr>
                <w:rFonts w:ascii="Calibri" w:hAnsi="Calibri" w:cs="Arial"/>
                <w:i/>
                <w:sz w:val="20"/>
                <w:szCs w:val="20"/>
              </w:rPr>
              <w:t>The grammar of modern Hebrew</w:t>
            </w:r>
            <w:r w:rsidRPr="009C030E">
              <w:rPr>
                <w:rFonts w:ascii="Calibri" w:hAnsi="Calibri" w:cs="Arial"/>
                <w:sz w:val="20"/>
                <w:szCs w:val="20"/>
              </w:rPr>
              <w:t xml:space="preserve">. Cambridge University Press.  </w:t>
            </w:r>
          </w:p>
          <w:p w:rsidR="005E0AE9" w:rsidRPr="009C030E" w:rsidRDefault="005E0AE9" w:rsidP="005E0AE9">
            <w:pPr>
              <w:jc w:val="both"/>
              <w:rPr>
                <w:rFonts w:ascii="Calibri" w:hAnsi="Calibri" w:cs="Arial"/>
                <w:sz w:val="20"/>
                <w:szCs w:val="20"/>
              </w:rPr>
            </w:pPr>
            <w:proofErr w:type="spellStart"/>
            <w:r w:rsidRPr="009C030E">
              <w:rPr>
                <w:rFonts w:ascii="Calibri" w:hAnsi="Calibri" w:cs="Arial"/>
                <w:sz w:val="20"/>
                <w:szCs w:val="20"/>
              </w:rPr>
              <w:t>Göksel</w:t>
            </w:r>
            <w:proofErr w:type="spellEnd"/>
            <w:r w:rsidRPr="009C030E">
              <w:rPr>
                <w:rFonts w:ascii="Calibri" w:hAnsi="Calibri" w:cs="Arial"/>
                <w:sz w:val="20"/>
                <w:szCs w:val="20"/>
              </w:rPr>
              <w:t xml:space="preserve">, A. &amp; </w:t>
            </w:r>
            <w:proofErr w:type="spellStart"/>
            <w:r w:rsidRPr="009C030E">
              <w:rPr>
                <w:rFonts w:ascii="Calibri" w:hAnsi="Calibri" w:cs="Arial"/>
                <w:sz w:val="20"/>
                <w:szCs w:val="20"/>
              </w:rPr>
              <w:t>Kerslake</w:t>
            </w:r>
            <w:proofErr w:type="spellEnd"/>
            <w:r w:rsidRPr="009C030E">
              <w:rPr>
                <w:rFonts w:ascii="Calibri" w:hAnsi="Calibri" w:cs="Arial"/>
                <w:sz w:val="20"/>
                <w:szCs w:val="20"/>
              </w:rPr>
              <w:t xml:space="preserve">, C. 2005. </w:t>
            </w:r>
            <w:r w:rsidRPr="009C030E">
              <w:rPr>
                <w:rFonts w:ascii="Calibri" w:hAnsi="Calibri" w:cs="Arial"/>
                <w:i/>
                <w:sz w:val="20"/>
                <w:szCs w:val="20"/>
              </w:rPr>
              <w:t>Turkish: a comprehensive grammar</w:t>
            </w:r>
            <w:r w:rsidRPr="009C030E">
              <w:rPr>
                <w:rFonts w:ascii="Calibri" w:hAnsi="Calibri" w:cs="Arial"/>
                <w:sz w:val="20"/>
                <w:szCs w:val="20"/>
              </w:rPr>
              <w:t xml:space="preserve">. London: Routledge.  </w:t>
            </w:r>
          </w:p>
          <w:p w:rsidR="005E0AE9" w:rsidRPr="009C030E" w:rsidRDefault="005E0AE9" w:rsidP="005E0AE9">
            <w:pPr>
              <w:jc w:val="both"/>
              <w:rPr>
                <w:rFonts w:ascii="Calibri" w:hAnsi="Calibri" w:cs="Arial"/>
                <w:sz w:val="20"/>
                <w:szCs w:val="20"/>
              </w:rPr>
            </w:pPr>
            <w:proofErr w:type="spellStart"/>
            <w:r w:rsidRPr="009C030E">
              <w:rPr>
                <w:rFonts w:ascii="Calibri" w:hAnsi="Calibri" w:cs="Arial"/>
                <w:sz w:val="20"/>
                <w:szCs w:val="20"/>
              </w:rPr>
              <w:t>Haspelmath</w:t>
            </w:r>
            <w:proofErr w:type="spellEnd"/>
            <w:r w:rsidRPr="009C030E">
              <w:rPr>
                <w:rFonts w:ascii="Calibri" w:hAnsi="Calibri" w:cs="Arial"/>
                <w:sz w:val="20"/>
                <w:szCs w:val="20"/>
              </w:rPr>
              <w:t>, M. 1997</w:t>
            </w:r>
            <w:r w:rsidRPr="009C030E">
              <w:rPr>
                <w:rFonts w:ascii="Calibri" w:hAnsi="Calibri" w:cs="Arial"/>
                <w:i/>
                <w:sz w:val="20"/>
                <w:szCs w:val="20"/>
              </w:rPr>
              <w:t>. Indefinite pronouns</w:t>
            </w:r>
            <w:r w:rsidRPr="009C030E">
              <w:rPr>
                <w:rFonts w:ascii="Calibri" w:hAnsi="Calibri" w:cs="Arial"/>
                <w:sz w:val="20"/>
                <w:szCs w:val="20"/>
              </w:rPr>
              <w:t xml:space="preserve">. Oxford: Oxford University Press.  </w:t>
            </w:r>
          </w:p>
          <w:p w:rsidR="005E0AE9" w:rsidRPr="009C030E" w:rsidRDefault="005E0AE9" w:rsidP="005E0AE9">
            <w:pPr>
              <w:jc w:val="both"/>
              <w:rPr>
                <w:rFonts w:ascii="Calibri" w:hAnsi="Calibri" w:cs="Arial"/>
                <w:sz w:val="20"/>
                <w:szCs w:val="20"/>
              </w:rPr>
            </w:pPr>
            <w:r w:rsidRPr="009C030E">
              <w:rPr>
                <w:rFonts w:ascii="Calibri" w:hAnsi="Calibri" w:cs="Arial"/>
                <w:sz w:val="20"/>
                <w:szCs w:val="20"/>
              </w:rPr>
              <w:t>Horn, L. R. 1989</w:t>
            </w:r>
            <w:r w:rsidRPr="009C030E">
              <w:rPr>
                <w:rFonts w:ascii="Calibri" w:hAnsi="Calibri" w:cs="Arial"/>
                <w:i/>
                <w:sz w:val="20"/>
                <w:szCs w:val="20"/>
              </w:rPr>
              <w:t>. A natural history of negation</w:t>
            </w:r>
            <w:r w:rsidRPr="009C030E">
              <w:rPr>
                <w:rFonts w:ascii="Calibri" w:hAnsi="Calibri" w:cs="Arial"/>
                <w:sz w:val="20"/>
                <w:szCs w:val="20"/>
              </w:rPr>
              <w:t xml:space="preserve">. Chicago: University of Chicago Press. </w:t>
            </w:r>
          </w:p>
          <w:p w:rsidR="005E0AE9" w:rsidRPr="009C030E" w:rsidRDefault="005E0AE9" w:rsidP="005E0AE9">
            <w:pPr>
              <w:jc w:val="both"/>
              <w:rPr>
                <w:rFonts w:ascii="Calibri" w:hAnsi="Calibri" w:cs="Arial"/>
                <w:sz w:val="20"/>
                <w:szCs w:val="20"/>
              </w:rPr>
            </w:pPr>
            <w:r w:rsidRPr="009C030E">
              <w:rPr>
                <w:rFonts w:ascii="Calibri" w:hAnsi="Calibri" w:cs="Arial"/>
                <w:sz w:val="20"/>
                <w:szCs w:val="20"/>
              </w:rPr>
              <w:t xml:space="preserve">Hoyt, F. 2010. </w:t>
            </w:r>
            <w:r w:rsidRPr="009C030E">
              <w:rPr>
                <w:rFonts w:ascii="Calibri" w:hAnsi="Calibri" w:cs="Arial"/>
                <w:i/>
                <w:sz w:val="20"/>
                <w:szCs w:val="20"/>
              </w:rPr>
              <w:t>Negative concord in Levantine Arabic</w:t>
            </w:r>
            <w:r w:rsidRPr="009C030E">
              <w:rPr>
                <w:rFonts w:ascii="Calibri" w:hAnsi="Calibri" w:cs="Arial"/>
                <w:sz w:val="20"/>
                <w:szCs w:val="20"/>
              </w:rPr>
              <w:t xml:space="preserve">. </w:t>
            </w:r>
            <w:proofErr w:type="spellStart"/>
            <w:r w:rsidRPr="009C030E">
              <w:rPr>
                <w:rFonts w:ascii="Calibri" w:hAnsi="Calibri" w:cs="Arial"/>
                <w:sz w:val="20"/>
                <w:szCs w:val="20"/>
              </w:rPr>
              <w:t>Διδ</w:t>
            </w:r>
            <w:proofErr w:type="spellEnd"/>
            <w:r w:rsidRPr="009C030E">
              <w:rPr>
                <w:rFonts w:ascii="Calibri" w:hAnsi="Calibri" w:cs="Arial"/>
                <w:sz w:val="20"/>
                <w:szCs w:val="20"/>
              </w:rPr>
              <w:t xml:space="preserve">ακτορική </w:t>
            </w:r>
            <w:proofErr w:type="spellStart"/>
            <w:r w:rsidRPr="009C030E">
              <w:rPr>
                <w:rFonts w:ascii="Calibri" w:hAnsi="Calibri" w:cs="Arial"/>
                <w:sz w:val="20"/>
                <w:szCs w:val="20"/>
              </w:rPr>
              <w:t>δι</w:t>
            </w:r>
            <w:proofErr w:type="spellEnd"/>
            <w:r w:rsidRPr="009C030E">
              <w:rPr>
                <w:rFonts w:ascii="Calibri" w:hAnsi="Calibri" w:cs="Arial"/>
                <w:sz w:val="20"/>
                <w:szCs w:val="20"/>
              </w:rPr>
              <w:t xml:space="preserve">ατριβή. University of Texas at Austin.   </w:t>
            </w:r>
          </w:p>
          <w:p w:rsidR="005E0AE9" w:rsidRPr="009C030E" w:rsidRDefault="005E0AE9" w:rsidP="005E0AE9">
            <w:pPr>
              <w:jc w:val="both"/>
              <w:rPr>
                <w:rFonts w:ascii="Calibri" w:hAnsi="Calibri" w:cs="Arial"/>
                <w:sz w:val="20"/>
                <w:szCs w:val="20"/>
              </w:rPr>
            </w:pPr>
            <w:proofErr w:type="spellStart"/>
            <w:r w:rsidRPr="009C030E">
              <w:rPr>
                <w:rFonts w:ascii="Calibri" w:hAnsi="Calibri" w:cs="Arial"/>
                <w:sz w:val="20"/>
                <w:szCs w:val="20"/>
              </w:rPr>
              <w:t>Klima</w:t>
            </w:r>
            <w:proofErr w:type="spellEnd"/>
            <w:r w:rsidRPr="009C030E">
              <w:rPr>
                <w:rFonts w:ascii="Calibri" w:hAnsi="Calibri" w:cs="Arial"/>
                <w:sz w:val="20"/>
                <w:szCs w:val="20"/>
              </w:rPr>
              <w:t xml:space="preserve">, E. 1964. Negation in English. </w:t>
            </w:r>
            <w:proofErr w:type="spellStart"/>
            <w:r w:rsidRPr="009C030E">
              <w:rPr>
                <w:rFonts w:ascii="Calibri" w:hAnsi="Calibri" w:cs="Arial"/>
                <w:sz w:val="20"/>
                <w:szCs w:val="20"/>
              </w:rPr>
              <w:t>Στο</w:t>
            </w:r>
            <w:proofErr w:type="spellEnd"/>
            <w:r w:rsidRPr="009C030E">
              <w:rPr>
                <w:rFonts w:ascii="Calibri" w:hAnsi="Calibri" w:cs="Arial"/>
                <w:sz w:val="20"/>
                <w:szCs w:val="20"/>
              </w:rPr>
              <w:t xml:space="preserve"> </w:t>
            </w:r>
            <w:proofErr w:type="gramStart"/>
            <w:r w:rsidRPr="009C030E">
              <w:rPr>
                <w:rFonts w:ascii="Calibri" w:hAnsi="Calibri" w:cs="Arial"/>
                <w:i/>
                <w:sz w:val="20"/>
                <w:szCs w:val="20"/>
              </w:rPr>
              <w:t>The</w:t>
            </w:r>
            <w:proofErr w:type="gramEnd"/>
            <w:r w:rsidRPr="009C030E">
              <w:rPr>
                <w:rFonts w:ascii="Calibri" w:hAnsi="Calibri" w:cs="Arial"/>
                <w:i/>
                <w:sz w:val="20"/>
                <w:szCs w:val="20"/>
              </w:rPr>
              <w:t xml:space="preserve"> structure of language</w:t>
            </w:r>
            <w:r w:rsidRPr="009C030E">
              <w:rPr>
                <w:rFonts w:ascii="Calibri" w:hAnsi="Calibri" w:cs="Arial"/>
                <w:sz w:val="20"/>
                <w:szCs w:val="20"/>
              </w:rPr>
              <w:t>. J. Fodor &amp; J. Katz (επ</w:t>
            </w:r>
            <w:proofErr w:type="spellStart"/>
            <w:r w:rsidRPr="009C030E">
              <w:rPr>
                <w:rFonts w:ascii="Calibri" w:hAnsi="Calibri" w:cs="Arial"/>
                <w:sz w:val="20"/>
                <w:szCs w:val="20"/>
              </w:rPr>
              <w:t>ιμ</w:t>
            </w:r>
            <w:proofErr w:type="spellEnd"/>
            <w:r w:rsidRPr="009C030E">
              <w:rPr>
                <w:rFonts w:ascii="Calibri" w:hAnsi="Calibri" w:cs="Arial"/>
                <w:sz w:val="20"/>
                <w:szCs w:val="20"/>
              </w:rPr>
              <w:t xml:space="preserve">.), 246-323. Englewood Cliffs, Prentice Hall.  </w:t>
            </w:r>
          </w:p>
          <w:p w:rsidR="005E0AE9" w:rsidRPr="009C030E" w:rsidRDefault="005E0AE9" w:rsidP="005E0AE9">
            <w:pPr>
              <w:jc w:val="both"/>
              <w:rPr>
                <w:rFonts w:ascii="Calibri" w:hAnsi="Calibri" w:cs="Arial"/>
                <w:sz w:val="20"/>
                <w:szCs w:val="20"/>
              </w:rPr>
            </w:pPr>
            <w:proofErr w:type="spellStart"/>
            <w:r w:rsidRPr="009C030E">
              <w:rPr>
                <w:rFonts w:ascii="Calibri" w:hAnsi="Calibri" w:cs="Arial"/>
                <w:sz w:val="20"/>
                <w:szCs w:val="20"/>
              </w:rPr>
              <w:t>Ladusaw</w:t>
            </w:r>
            <w:proofErr w:type="spellEnd"/>
            <w:r w:rsidRPr="009C030E">
              <w:rPr>
                <w:rFonts w:ascii="Calibri" w:hAnsi="Calibri" w:cs="Arial"/>
                <w:sz w:val="20"/>
                <w:szCs w:val="20"/>
              </w:rPr>
              <w:t xml:space="preserve">, A. W. 1979. </w:t>
            </w:r>
            <w:r w:rsidRPr="009C030E">
              <w:rPr>
                <w:rFonts w:ascii="Calibri" w:hAnsi="Calibri" w:cs="Arial"/>
                <w:i/>
                <w:sz w:val="20"/>
                <w:szCs w:val="20"/>
              </w:rPr>
              <w:t>Polarity sensitivity as inherent scope relations</w:t>
            </w:r>
            <w:r w:rsidRPr="009C030E">
              <w:rPr>
                <w:rFonts w:ascii="Calibri" w:hAnsi="Calibri" w:cs="Arial"/>
                <w:sz w:val="20"/>
                <w:szCs w:val="20"/>
              </w:rPr>
              <w:t xml:space="preserve">. </w:t>
            </w:r>
            <w:proofErr w:type="spellStart"/>
            <w:r w:rsidRPr="009C030E">
              <w:rPr>
                <w:rFonts w:ascii="Calibri" w:hAnsi="Calibri" w:cs="Arial"/>
                <w:sz w:val="20"/>
                <w:szCs w:val="20"/>
              </w:rPr>
              <w:t>Διδ</w:t>
            </w:r>
            <w:proofErr w:type="spellEnd"/>
            <w:r w:rsidRPr="009C030E">
              <w:rPr>
                <w:rFonts w:ascii="Calibri" w:hAnsi="Calibri" w:cs="Arial"/>
                <w:sz w:val="20"/>
                <w:szCs w:val="20"/>
              </w:rPr>
              <w:t xml:space="preserve">ακτορική </w:t>
            </w:r>
            <w:proofErr w:type="spellStart"/>
            <w:r w:rsidRPr="009C030E">
              <w:rPr>
                <w:rFonts w:ascii="Calibri" w:hAnsi="Calibri" w:cs="Arial"/>
                <w:sz w:val="20"/>
                <w:szCs w:val="20"/>
              </w:rPr>
              <w:t>δι</w:t>
            </w:r>
            <w:proofErr w:type="spellEnd"/>
            <w:r w:rsidRPr="009C030E">
              <w:rPr>
                <w:rFonts w:ascii="Calibri" w:hAnsi="Calibri" w:cs="Arial"/>
                <w:sz w:val="20"/>
                <w:szCs w:val="20"/>
              </w:rPr>
              <w:t xml:space="preserve">ατριβή. University of Texas at Austin.  </w:t>
            </w:r>
          </w:p>
          <w:p w:rsidR="005E0AE9" w:rsidRPr="009C030E" w:rsidRDefault="005E0AE9" w:rsidP="005E0AE9">
            <w:pPr>
              <w:jc w:val="both"/>
              <w:rPr>
                <w:rFonts w:ascii="Calibri" w:hAnsi="Calibri" w:cs="Arial"/>
                <w:sz w:val="20"/>
                <w:szCs w:val="20"/>
              </w:rPr>
            </w:pPr>
            <w:r w:rsidRPr="009C030E">
              <w:rPr>
                <w:rFonts w:ascii="Calibri" w:hAnsi="Calibri" w:cs="Arial"/>
                <w:sz w:val="20"/>
                <w:szCs w:val="20"/>
              </w:rPr>
              <w:t>Levy, A. 2008. Negative polarity items-</w:t>
            </w:r>
            <w:proofErr w:type="spellStart"/>
            <w:r w:rsidRPr="009C030E">
              <w:rPr>
                <w:rFonts w:ascii="Calibri" w:hAnsi="Calibri" w:cs="Arial"/>
                <w:sz w:val="20"/>
                <w:szCs w:val="20"/>
              </w:rPr>
              <w:t>šum</w:t>
            </w:r>
            <w:proofErr w:type="spellEnd"/>
            <w:r w:rsidRPr="009C030E">
              <w:rPr>
                <w:rFonts w:ascii="Calibri" w:hAnsi="Calibri" w:cs="Arial"/>
                <w:sz w:val="20"/>
                <w:szCs w:val="20"/>
              </w:rPr>
              <w:t xml:space="preserve"> and </w:t>
            </w:r>
            <w:proofErr w:type="spellStart"/>
            <w:r w:rsidRPr="009C030E">
              <w:rPr>
                <w:rFonts w:ascii="Calibri" w:hAnsi="Calibri" w:cs="Arial"/>
                <w:sz w:val="20"/>
                <w:szCs w:val="20"/>
              </w:rPr>
              <w:t>af</w:t>
            </w:r>
            <w:proofErr w:type="spellEnd"/>
            <w:r w:rsidRPr="009C030E">
              <w:rPr>
                <w:rFonts w:ascii="Calibri" w:hAnsi="Calibri" w:cs="Arial"/>
                <w:sz w:val="20"/>
                <w:szCs w:val="20"/>
              </w:rPr>
              <w:t xml:space="preserve">. </w:t>
            </w:r>
            <w:proofErr w:type="spellStart"/>
            <w:r w:rsidRPr="009C030E">
              <w:rPr>
                <w:rFonts w:ascii="Calibri" w:hAnsi="Calibri" w:cs="Arial"/>
                <w:sz w:val="20"/>
                <w:szCs w:val="20"/>
              </w:rPr>
              <w:t>Στο</w:t>
            </w:r>
            <w:proofErr w:type="spellEnd"/>
            <w:r w:rsidRPr="009C030E">
              <w:rPr>
                <w:rFonts w:ascii="Calibri" w:hAnsi="Calibri" w:cs="Arial"/>
                <w:sz w:val="20"/>
                <w:szCs w:val="20"/>
              </w:rPr>
              <w:t xml:space="preserve"> </w:t>
            </w:r>
            <w:r w:rsidRPr="009C030E">
              <w:rPr>
                <w:rFonts w:ascii="Calibri" w:hAnsi="Calibri" w:cs="Arial"/>
                <w:i/>
                <w:sz w:val="20"/>
                <w:szCs w:val="20"/>
              </w:rPr>
              <w:t xml:space="preserve">Current issues in generative </w:t>
            </w:r>
            <w:proofErr w:type="spellStart"/>
            <w:r w:rsidRPr="009C030E">
              <w:rPr>
                <w:rFonts w:ascii="Calibri" w:hAnsi="Calibri" w:cs="Arial"/>
                <w:i/>
                <w:sz w:val="20"/>
                <w:szCs w:val="20"/>
              </w:rPr>
              <w:t>hebrew</w:t>
            </w:r>
            <w:proofErr w:type="spellEnd"/>
            <w:r w:rsidRPr="009C030E">
              <w:rPr>
                <w:rFonts w:ascii="Calibri" w:hAnsi="Calibri" w:cs="Arial"/>
                <w:i/>
                <w:sz w:val="20"/>
                <w:szCs w:val="20"/>
              </w:rPr>
              <w:t xml:space="preserve"> linguistics</w:t>
            </w:r>
            <w:r w:rsidRPr="009C030E">
              <w:rPr>
                <w:rFonts w:ascii="Calibri" w:hAnsi="Calibri" w:cs="Arial"/>
                <w:sz w:val="20"/>
                <w:szCs w:val="20"/>
              </w:rPr>
              <w:t xml:space="preserve">. 313337.  </w:t>
            </w:r>
          </w:p>
          <w:p w:rsidR="005E0AE9" w:rsidRPr="009C030E" w:rsidRDefault="005E0AE9" w:rsidP="005E0AE9">
            <w:pPr>
              <w:jc w:val="both"/>
              <w:rPr>
                <w:rFonts w:ascii="Calibri" w:hAnsi="Calibri" w:cs="Arial"/>
                <w:sz w:val="20"/>
                <w:szCs w:val="20"/>
              </w:rPr>
            </w:pPr>
            <w:r w:rsidRPr="009C030E">
              <w:rPr>
                <w:rFonts w:ascii="Calibri" w:hAnsi="Calibri" w:cs="Arial"/>
                <w:sz w:val="20"/>
                <w:szCs w:val="20"/>
              </w:rPr>
              <w:t xml:space="preserve">McKenzie, A. 2006. Fixing the scope of sentential negation in Turkish. Ms.  </w:t>
            </w:r>
          </w:p>
          <w:p w:rsidR="005E0AE9" w:rsidRPr="009C030E" w:rsidRDefault="005E0AE9" w:rsidP="005E0AE9">
            <w:pPr>
              <w:jc w:val="both"/>
              <w:rPr>
                <w:rFonts w:ascii="Calibri" w:hAnsi="Calibri" w:cs="Arial"/>
                <w:sz w:val="20"/>
                <w:szCs w:val="20"/>
              </w:rPr>
            </w:pPr>
            <w:r w:rsidRPr="009C030E">
              <w:rPr>
                <w:rFonts w:ascii="Calibri" w:hAnsi="Calibri" w:cs="Arial"/>
                <w:sz w:val="20"/>
                <w:szCs w:val="20"/>
              </w:rPr>
              <w:t>Mitchell, T. F. 1962</w:t>
            </w:r>
            <w:r w:rsidRPr="009C030E">
              <w:rPr>
                <w:rFonts w:ascii="Calibri" w:hAnsi="Calibri" w:cs="Arial"/>
                <w:i/>
                <w:sz w:val="20"/>
                <w:szCs w:val="20"/>
              </w:rPr>
              <w:t>. Colloquial Arabic: the living language of Egypt</w:t>
            </w:r>
            <w:r w:rsidRPr="009C030E">
              <w:rPr>
                <w:rFonts w:ascii="Calibri" w:hAnsi="Calibri" w:cs="Arial"/>
                <w:sz w:val="20"/>
                <w:szCs w:val="20"/>
              </w:rPr>
              <w:t xml:space="preserve">. The English Universities Press.   </w:t>
            </w:r>
          </w:p>
          <w:p w:rsidR="005E0AE9" w:rsidRPr="009C030E" w:rsidRDefault="005E0AE9" w:rsidP="005E0AE9">
            <w:pPr>
              <w:jc w:val="both"/>
              <w:rPr>
                <w:rFonts w:ascii="Calibri" w:hAnsi="Calibri" w:cs="Arial"/>
                <w:sz w:val="20"/>
                <w:szCs w:val="20"/>
              </w:rPr>
            </w:pPr>
            <w:r w:rsidRPr="009C030E">
              <w:rPr>
                <w:rFonts w:ascii="Calibri" w:hAnsi="Calibri" w:cs="Arial"/>
                <w:sz w:val="20"/>
                <w:szCs w:val="20"/>
              </w:rPr>
              <w:t xml:space="preserve">Montague, R. 1974. On the nature of certain philosophical entities. </w:t>
            </w:r>
            <w:proofErr w:type="spellStart"/>
            <w:r w:rsidRPr="009C030E">
              <w:rPr>
                <w:rFonts w:ascii="Calibri" w:hAnsi="Calibri" w:cs="Arial"/>
                <w:sz w:val="20"/>
                <w:szCs w:val="20"/>
              </w:rPr>
              <w:t>Στο</w:t>
            </w:r>
            <w:proofErr w:type="spellEnd"/>
            <w:r w:rsidRPr="009C030E">
              <w:rPr>
                <w:rFonts w:ascii="Calibri" w:hAnsi="Calibri" w:cs="Arial"/>
                <w:sz w:val="20"/>
                <w:szCs w:val="20"/>
              </w:rPr>
              <w:t xml:space="preserve"> </w:t>
            </w:r>
            <w:r w:rsidRPr="009C030E">
              <w:rPr>
                <w:rFonts w:ascii="Calibri" w:hAnsi="Calibri" w:cs="Arial"/>
                <w:i/>
                <w:sz w:val="20"/>
                <w:szCs w:val="20"/>
              </w:rPr>
              <w:t>Formal philosophy. Selected papers by Richard Montague. R.H. Thomason</w:t>
            </w:r>
            <w:r w:rsidRPr="009C030E">
              <w:rPr>
                <w:rFonts w:ascii="Calibri" w:hAnsi="Calibri" w:cs="Arial"/>
                <w:sz w:val="20"/>
                <w:szCs w:val="20"/>
              </w:rPr>
              <w:t xml:space="preserve"> (επ</w:t>
            </w:r>
            <w:proofErr w:type="spellStart"/>
            <w:r w:rsidRPr="009C030E">
              <w:rPr>
                <w:rFonts w:ascii="Calibri" w:hAnsi="Calibri" w:cs="Arial"/>
                <w:sz w:val="20"/>
                <w:szCs w:val="20"/>
              </w:rPr>
              <w:t>ιμ</w:t>
            </w:r>
            <w:proofErr w:type="spellEnd"/>
            <w:r w:rsidRPr="009C030E">
              <w:rPr>
                <w:rFonts w:ascii="Calibri" w:hAnsi="Calibri" w:cs="Arial"/>
                <w:sz w:val="20"/>
                <w:szCs w:val="20"/>
              </w:rPr>
              <w:t xml:space="preserve">.), 148-187. New Haven: Yale University Press.  </w:t>
            </w:r>
          </w:p>
          <w:p w:rsidR="005E0AE9" w:rsidRPr="009C030E" w:rsidRDefault="005E0AE9" w:rsidP="005E0AE9">
            <w:pPr>
              <w:jc w:val="both"/>
              <w:rPr>
                <w:rFonts w:ascii="Calibri" w:hAnsi="Calibri" w:cs="Arial"/>
                <w:sz w:val="20"/>
                <w:szCs w:val="20"/>
              </w:rPr>
            </w:pPr>
            <w:proofErr w:type="spellStart"/>
            <w:r w:rsidRPr="009C030E">
              <w:rPr>
                <w:rFonts w:ascii="Calibri" w:hAnsi="Calibri" w:cs="Arial"/>
                <w:sz w:val="20"/>
                <w:szCs w:val="20"/>
              </w:rPr>
              <w:t>Ouali</w:t>
            </w:r>
            <w:proofErr w:type="spellEnd"/>
            <w:r w:rsidRPr="009C030E">
              <w:rPr>
                <w:rFonts w:ascii="Calibri" w:hAnsi="Calibri" w:cs="Arial"/>
                <w:sz w:val="20"/>
                <w:szCs w:val="20"/>
              </w:rPr>
              <w:t xml:space="preserve">, H. 2005. Negation and negative polarity items in Berber. </w:t>
            </w:r>
            <w:proofErr w:type="spellStart"/>
            <w:r w:rsidRPr="009C030E">
              <w:rPr>
                <w:rFonts w:ascii="Calibri" w:hAnsi="Calibri" w:cs="Arial"/>
                <w:sz w:val="20"/>
                <w:szCs w:val="20"/>
              </w:rPr>
              <w:t>Στο</w:t>
            </w:r>
            <w:proofErr w:type="spellEnd"/>
            <w:r w:rsidRPr="009C030E">
              <w:rPr>
                <w:rFonts w:ascii="Calibri" w:hAnsi="Calibri" w:cs="Arial"/>
                <w:sz w:val="20"/>
                <w:szCs w:val="20"/>
              </w:rPr>
              <w:t xml:space="preserve"> </w:t>
            </w:r>
            <w:r w:rsidRPr="009C030E">
              <w:rPr>
                <w:rFonts w:ascii="Calibri" w:hAnsi="Calibri" w:cs="Arial"/>
                <w:i/>
                <w:sz w:val="20"/>
                <w:szCs w:val="20"/>
              </w:rPr>
              <w:t>Proceedings of the 30th Annual Meeting of the Berkeley Linguistics Society</w:t>
            </w:r>
            <w:r w:rsidRPr="009C030E">
              <w:rPr>
                <w:rFonts w:ascii="Calibri" w:hAnsi="Calibri" w:cs="Arial"/>
                <w:sz w:val="20"/>
                <w:szCs w:val="20"/>
              </w:rPr>
              <w:t xml:space="preserve">, </w:t>
            </w:r>
            <w:proofErr w:type="spellStart"/>
            <w:r w:rsidRPr="009C030E">
              <w:rPr>
                <w:rFonts w:ascii="Calibri" w:hAnsi="Calibri" w:cs="Arial"/>
                <w:sz w:val="20"/>
                <w:szCs w:val="20"/>
              </w:rPr>
              <w:t>Ettlinger</w:t>
            </w:r>
            <w:proofErr w:type="spellEnd"/>
            <w:r w:rsidRPr="009C030E">
              <w:rPr>
                <w:rFonts w:ascii="Calibri" w:hAnsi="Calibri" w:cs="Arial"/>
                <w:sz w:val="20"/>
                <w:szCs w:val="20"/>
              </w:rPr>
              <w:t>, M. et al. (επ</w:t>
            </w:r>
            <w:proofErr w:type="spellStart"/>
            <w:r w:rsidRPr="009C030E">
              <w:rPr>
                <w:rFonts w:ascii="Calibri" w:hAnsi="Calibri" w:cs="Arial"/>
                <w:sz w:val="20"/>
                <w:szCs w:val="20"/>
              </w:rPr>
              <w:t>ιμ</w:t>
            </w:r>
            <w:proofErr w:type="spellEnd"/>
            <w:r w:rsidRPr="009C030E">
              <w:rPr>
                <w:rFonts w:ascii="Calibri" w:hAnsi="Calibri" w:cs="Arial"/>
                <w:sz w:val="20"/>
                <w:szCs w:val="20"/>
              </w:rPr>
              <w:t xml:space="preserve">.) 330-340.  </w:t>
            </w:r>
          </w:p>
          <w:p w:rsidR="005E0AE9" w:rsidRPr="009C030E" w:rsidRDefault="005E0AE9" w:rsidP="005E0AE9">
            <w:pPr>
              <w:jc w:val="both"/>
              <w:rPr>
                <w:rFonts w:ascii="Calibri" w:hAnsi="Calibri" w:cs="Arial"/>
                <w:sz w:val="20"/>
                <w:szCs w:val="20"/>
              </w:rPr>
            </w:pPr>
            <w:r w:rsidRPr="009C030E">
              <w:rPr>
                <w:rFonts w:ascii="Calibri" w:hAnsi="Calibri" w:cs="Arial"/>
                <w:sz w:val="20"/>
                <w:szCs w:val="20"/>
              </w:rPr>
              <w:t>Pollard, C. &amp; I. A. Sag, 1994</w:t>
            </w:r>
            <w:r w:rsidRPr="009C030E">
              <w:rPr>
                <w:rFonts w:ascii="Calibri" w:hAnsi="Calibri" w:cs="Arial"/>
                <w:i/>
                <w:sz w:val="20"/>
                <w:szCs w:val="20"/>
              </w:rPr>
              <w:t>. Head-driven phrase structure grammar</w:t>
            </w:r>
            <w:r w:rsidRPr="009C030E">
              <w:rPr>
                <w:rFonts w:ascii="Calibri" w:hAnsi="Calibri" w:cs="Arial"/>
                <w:sz w:val="20"/>
                <w:szCs w:val="20"/>
              </w:rPr>
              <w:t xml:space="preserve">. Chicago: University of Chicago Press.  </w:t>
            </w:r>
          </w:p>
          <w:p w:rsidR="005E0AE9" w:rsidRPr="009C030E" w:rsidRDefault="005E0AE9" w:rsidP="005E0AE9">
            <w:pPr>
              <w:jc w:val="both"/>
              <w:rPr>
                <w:rFonts w:ascii="Calibri" w:hAnsi="Calibri" w:cs="Arial"/>
                <w:sz w:val="20"/>
                <w:szCs w:val="20"/>
              </w:rPr>
            </w:pPr>
            <w:proofErr w:type="spellStart"/>
            <w:r w:rsidRPr="009C030E">
              <w:rPr>
                <w:rFonts w:ascii="Calibri" w:hAnsi="Calibri" w:cs="Arial"/>
                <w:sz w:val="20"/>
                <w:szCs w:val="20"/>
              </w:rPr>
              <w:t>Tonciulescu</w:t>
            </w:r>
            <w:proofErr w:type="spellEnd"/>
            <w:r w:rsidRPr="009C030E">
              <w:rPr>
                <w:rFonts w:ascii="Calibri" w:hAnsi="Calibri" w:cs="Arial"/>
                <w:sz w:val="20"/>
                <w:szCs w:val="20"/>
              </w:rPr>
              <w:t xml:space="preserve">, K. C. 2011. </w:t>
            </w:r>
            <w:r w:rsidRPr="009C030E">
              <w:rPr>
                <w:rFonts w:ascii="Calibri" w:hAnsi="Calibri" w:cs="Arial"/>
                <w:i/>
                <w:sz w:val="20"/>
                <w:szCs w:val="20"/>
              </w:rPr>
              <w:t>Licensing conditions for indefinite pronouns in Modern Hebrew</w:t>
            </w:r>
            <w:r w:rsidRPr="009C030E">
              <w:rPr>
                <w:rFonts w:ascii="Calibri" w:hAnsi="Calibri" w:cs="Arial"/>
                <w:sz w:val="20"/>
                <w:szCs w:val="20"/>
              </w:rPr>
              <w:t xml:space="preserve">. </w:t>
            </w:r>
            <w:proofErr w:type="spellStart"/>
            <w:r w:rsidRPr="009C030E">
              <w:rPr>
                <w:rFonts w:ascii="Calibri" w:hAnsi="Calibri" w:cs="Arial"/>
                <w:sz w:val="20"/>
                <w:szCs w:val="20"/>
              </w:rPr>
              <w:t>Διδ</w:t>
            </w:r>
            <w:proofErr w:type="spellEnd"/>
            <w:r w:rsidRPr="009C030E">
              <w:rPr>
                <w:rFonts w:ascii="Calibri" w:hAnsi="Calibri" w:cs="Arial"/>
                <w:sz w:val="20"/>
                <w:szCs w:val="20"/>
              </w:rPr>
              <w:t xml:space="preserve">ακτορική </w:t>
            </w:r>
            <w:proofErr w:type="spellStart"/>
            <w:r w:rsidRPr="009C030E">
              <w:rPr>
                <w:rFonts w:ascii="Calibri" w:hAnsi="Calibri" w:cs="Arial"/>
                <w:sz w:val="20"/>
                <w:szCs w:val="20"/>
              </w:rPr>
              <w:t>δι</w:t>
            </w:r>
            <w:proofErr w:type="spellEnd"/>
            <w:r w:rsidRPr="009C030E">
              <w:rPr>
                <w:rFonts w:ascii="Calibri" w:hAnsi="Calibri" w:cs="Arial"/>
                <w:sz w:val="20"/>
                <w:szCs w:val="20"/>
              </w:rPr>
              <w:t xml:space="preserve">ατριβή. University of Ottawa.  </w:t>
            </w:r>
          </w:p>
          <w:p w:rsidR="005E0AE9" w:rsidRPr="009C030E" w:rsidRDefault="005E0AE9" w:rsidP="005E0AE9">
            <w:pPr>
              <w:jc w:val="both"/>
              <w:rPr>
                <w:rFonts w:ascii="Calibri" w:hAnsi="Calibri" w:cs="Arial"/>
                <w:sz w:val="20"/>
                <w:szCs w:val="20"/>
                <w:lang w:val="fr-FR"/>
              </w:rPr>
            </w:pPr>
            <w:proofErr w:type="spellStart"/>
            <w:r w:rsidRPr="009C030E">
              <w:rPr>
                <w:rFonts w:ascii="Calibri" w:hAnsi="Calibri" w:cs="Arial"/>
                <w:sz w:val="20"/>
                <w:szCs w:val="20"/>
              </w:rPr>
              <w:t>Vlachou</w:t>
            </w:r>
            <w:proofErr w:type="spellEnd"/>
            <w:r w:rsidRPr="009C030E">
              <w:rPr>
                <w:rFonts w:ascii="Calibri" w:hAnsi="Calibri" w:cs="Arial"/>
                <w:sz w:val="20"/>
                <w:szCs w:val="20"/>
              </w:rPr>
              <w:t xml:space="preserve">, E., 2003. Weird polarity indefinites in French. In: </w:t>
            </w:r>
            <w:proofErr w:type="spellStart"/>
            <w:r w:rsidRPr="009C030E">
              <w:rPr>
                <w:rFonts w:ascii="Calibri" w:hAnsi="Calibri" w:cs="Arial"/>
                <w:sz w:val="20"/>
                <w:szCs w:val="20"/>
              </w:rPr>
              <w:t>Fikkert</w:t>
            </w:r>
            <w:proofErr w:type="spellEnd"/>
            <w:r w:rsidRPr="009C030E">
              <w:rPr>
                <w:rFonts w:ascii="Calibri" w:hAnsi="Calibri" w:cs="Arial"/>
                <w:sz w:val="20"/>
                <w:szCs w:val="20"/>
              </w:rPr>
              <w:t xml:space="preserve">, P., </w:t>
            </w:r>
            <w:proofErr w:type="spellStart"/>
            <w:r w:rsidRPr="009C030E">
              <w:rPr>
                <w:rFonts w:ascii="Calibri" w:hAnsi="Calibri" w:cs="Arial"/>
                <w:sz w:val="20"/>
                <w:szCs w:val="20"/>
              </w:rPr>
              <w:t>Cornips</w:t>
            </w:r>
            <w:proofErr w:type="spellEnd"/>
            <w:r w:rsidRPr="009C030E">
              <w:rPr>
                <w:rFonts w:ascii="Calibri" w:hAnsi="Calibri" w:cs="Arial"/>
                <w:sz w:val="20"/>
                <w:szCs w:val="20"/>
              </w:rPr>
              <w:t xml:space="preserve">, L., (Eds.), </w:t>
            </w:r>
            <w:r w:rsidRPr="009C030E">
              <w:rPr>
                <w:rFonts w:ascii="Calibri" w:hAnsi="Calibri" w:cs="Arial"/>
                <w:i/>
                <w:sz w:val="20"/>
                <w:szCs w:val="20"/>
              </w:rPr>
              <w:t>Linguistics in the Netherlands</w:t>
            </w:r>
            <w:r w:rsidRPr="009C030E">
              <w:rPr>
                <w:rFonts w:ascii="Calibri" w:hAnsi="Calibri" w:cs="Arial"/>
                <w:sz w:val="20"/>
                <w:szCs w:val="20"/>
              </w:rPr>
              <w:t xml:space="preserve"> 8. </w:t>
            </w:r>
            <w:r w:rsidRPr="009C030E">
              <w:rPr>
                <w:rFonts w:ascii="Calibri" w:hAnsi="Calibri" w:cs="Arial"/>
                <w:sz w:val="20"/>
                <w:szCs w:val="20"/>
                <w:lang w:val="fr-FR"/>
              </w:rPr>
              <w:t xml:space="preserve">John Benjamins </w:t>
            </w:r>
            <w:proofErr w:type="spellStart"/>
            <w:r w:rsidRPr="009C030E">
              <w:rPr>
                <w:rFonts w:ascii="Calibri" w:hAnsi="Calibri" w:cs="Arial"/>
                <w:sz w:val="20"/>
                <w:szCs w:val="20"/>
                <w:lang w:val="fr-FR"/>
              </w:rPr>
              <w:t>Publishing</w:t>
            </w:r>
            <w:proofErr w:type="spellEnd"/>
            <w:r w:rsidRPr="009C030E">
              <w:rPr>
                <w:rFonts w:ascii="Calibri" w:hAnsi="Calibri" w:cs="Arial"/>
                <w:sz w:val="20"/>
                <w:szCs w:val="20"/>
                <w:lang w:val="fr-FR"/>
              </w:rPr>
              <w:t xml:space="preserve"> </w:t>
            </w:r>
            <w:proofErr w:type="spellStart"/>
            <w:r w:rsidRPr="009C030E">
              <w:rPr>
                <w:rFonts w:ascii="Calibri" w:hAnsi="Calibri" w:cs="Arial"/>
                <w:sz w:val="20"/>
                <w:szCs w:val="20"/>
                <w:lang w:val="fr-FR"/>
              </w:rPr>
              <w:t>Company</w:t>
            </w:r>
            <w:proofErr w:type="spellEnd"/>
            <w:r w:rsidRPr="009C030E">
              <w:rPr>
                <w:rFonts w:ascii="Calibri" w:hAnsi="Calibri" w:cs="Arial"/>
                <w:sz w:val="20"/>
                <w:szCs w:val="20"/>
                <w:lang w:val="fr-FR"/>
              </w:rPr>
              <w:t xml:space="preserve">, pp. 189–200.  </w:t>
            </w:r>
          </w:p>
          <w:p w:rsidR="005E0AE9" w:rsidRPr="009C030E" w:rsidRDefault="005E0AE9" w:rsidP="005E0AE9">
            <w:pPr>
              <w:jc w:val="both"/>
              <w:rPr>
                <w:rFonts w:ascii="Calibri" w:hAnsi="Calibri" w:cs="Arial"/>
                <w:sz w:val="20"/>
                <w:szCs w:val="20"/>
              </w:rPr>
            </w:pPr>
            <w:proofErr w:type="spellStart"/>
            <w:r w:rsidRPr="009C030E">
              <w:rPr>
                <w:rFonts w:ascii="Calibri" w:hAnsi="Calibri" w:cs="Arial"/>
                <w:sz w:val="20"/>
                <w:szCs w:val="20"/>
                <w:lang w:val="fr-FR"/>
              </w:rPr>
              <w:t>Vlachou</w:t>
            </w:r>
            <w:proofErr w:type="spellEnd"/>
            <w:r w:rsidRPr="009C030E">
              <w:rPr>
                <w:rFonts w:ascii="Calibri" w:hAnsi="Calibri" w:cs="Arial"/>
                <w:sz w:val="20"/>
                <w:szCs w:val="20"/>
                <w:lang w:val="fr-FR"/>
              </w:rPr>
              <w:t xml:space="preserve">, E. 2006. Le puzzle des indéfinis en </w:t>
            </w:r>
            <w:proofErr w:type="spellStart"/>
            <w:r w:rsidRPr="009C030E">
              <w:rPr>
                <w:rFonts w:ascii="Calibri" w:hAnsi="Calibri" w:cs="Arial"/>
                <w:sz w:val="20"/>
                <w:szCs w:val="20"/>
                <w:lang w:val="fr-FR"/>
              </w:rPr>
              <w:t>qu</w:t>
            </w:r>
            <w:proofErr w:type="spellEnd"/>
            <w:r w:rsidRPr="009C030E">
              <w:rPr>
                <w:rFonts w:ascii="Calibri" w:hAnsi="Calibri" w:cs="Arial"/>
                <w:sz w:val="20"/>
                <w:szCs w:val="20"/>
                <w:lang w:val="fr-FR"/>
              </w:rPr>
              <w:t xml:space="preserve">-. </w:t>
            </w:r>
            <w:proofErr w:type="gramStart"/>
            <w:r w:rsidRPr="009C030E">
              <w:rPr>
                <w:rFonts w:ascii="Calibri" w:hAnsi="Calibri" w:cs="Arial"/>
                <w:sz w:val="20"/>
                <w:szCs w:val="20"/>
                <w:lang w:val="fr-FR"/>
              </w:rPr>
              <w:t>In:</w:t>
            </w:r>
            <w:proofErr w:type="gramEnd"/>
            <w:r w:rsidRPr="009C030E">
              <w:rPr>
                <w:rFonts w:ascii="Calibri" w:hAnsi="Calibri" w:cs="Arial"/>
                <w:sz w:val="20"/>
                <w:szCs w:val="20"/>
                <w:lang w:val="fr-FR"/>
              </w:rPr>
              <w:t xml:space="preserve"> </w:t>
            </w:r>
            <w:proofErr w:type="spellStart"/>
            <w:r w:rsidRPr="009C030E">
              <w:rPr>
                <w:rFonts w:ascii="Calibri" w:hAnsi="Calibri" w:cs="Arial"/>
                <w:sz w:val="20"/>
                <w:szCs w:val="20"/>
                <w:lang w:val="fr-FR"/>
              </w:rPr>
              <w:t>Corblin</w:t>
            </w:r>
            <w:proofErr w:type="spellEnd"/>
            <w:r w:rsidRPr="009C030E">
              <w:rPr>
                <w:rFonts w:ascii="Calibri" w:hAnsi="Calibri" w:cs="Arial"/>
                <w:sz w:val="20"/>
                <w:szCs w:val="20"/>
                <w:lang w:val="fr-FR"/>
              </w:rPr>
              <w:t xml:space="preserve">, F., </w:t>
            </w:r>
            <w:proofErr w:type="spellStart"/>
            <w:r w:rsidRPr="009C030E">
              <w:rPr>
                <w:rFonts w:ascii="Calibri" w:hAnsi="Calibri" w:cs="Arial"/>
                <w:sz w:val="20"/>
                <w:szCs w:val="20"/>
                <w:lang w:val="fr-FR"/>
              </w:rPr>
              <w:t>Ferrando</w:t>
            </w:r>
            <w:proofErr w:type="spellEnd"/>
            <w:r w:rsidRPr="009C030E">
              <w:rPr>
                <w:rFonts w:ascii="Calibri" w:hAnsi="Calibri" w:cs="Arial"/>
                <w:sz w:val="20"/>
                <w:szCs w:val="20"/>
                <w:lang w:val="fr-FR"/>
              </w:rPr>
              <w:t xml:space="preserve">, S. </w:t>
            </w:r>
            <w:proofErr w:type="spellStart"/>
            <w:r w:rsidRPr="009C030E">
              <w:rPr>
                <w:rFonts w:ascii="Calibri" w:hAnsi="Calibri" w:cs="Arial"/>
                <w:sz w:val="20"/>
                <w:szCs w:val="20"/>
                <w:lang w:val="fr-FR"/>
              </w:rPr>
              <w:t>Kupferman</w:t>
            </w:r>
            <w:proofErr w:type="spellEnd"/>
            <w:r w:rsidRPr="009C030E">
              <w:rPr>
                <w:rFonts w:ascii="Calibri" w:hAnsi="Calibri" w:cs="Arial"/>
                <w:sz w:val="20"/>
                <w:szCs w:val="20"/>
                <w:lang w:val="fr-FR"/>
              </w:rPr>
              <w:t>, L. (</w:t>
            </w:r>
            <w:proofErr w:type="spellStart"/>
            <w:r w:rsidRPr="009C030E">
              <w:rPr>
                <w:rFonts w:ascii="Calibri" w:hAnsi="Calibri" w:cs="Arial"/>
                <w:sz w:val="20"/>
                <w:szCs w:val="20"/>
                <w:lang w:val="fr-FR"/>
              </w:rPr>
              <w:t>Eds</w:t>
            </w:r>
            <w:proofErr w:type="spellEnd"/>
            <w:r w:rsidRPr="009C030E">
              <w:rPr>
                <w:rFonts w:ascii="Calibri" w:hAnsi="Calibri" w:cs="Arial"/>
                <w:sz w:val="20"/>
                <w:szCs w:val="20"/>
                <w:lang w:val="fr-FR"/>
              </w:rPr>
              <w:t xml:space="preserve">.), </w:t>
            </w:r>
            <w:r w:rsidRPr="009C030E">
              <w:rPr>
                <w:rFonts w:ascii="Calibri" w:hAnsi="Calibri" w:cs="Arial"/>
                <w:i/>
                <w:sz w:val="20"/>
                <w:szCs w:val="20"/>
                <w:lang w:val="fr-FR"/>
              </w:rPr>
              <w:t>Indéfinis et Prédications</w:t>
            </w:r>
            <w:r w:rsidRPr="009C030E">
              <w:rPr>
                <w:rFonts w:ascii="Calibri" w:hAnsi="Calibri" w:cs="Arial"/>
                <w:sz w:val="20"/>
                <w:szCs w:val="20"/>
                <w:lang w:val="fr-FR"/>
              </w:rPr>
              <w:t xml:space="preserve">. </w:t>
            </w:r>
            <w:r w:rsidRPr="009C030E">
              <w:rPr>
                <w:rFonts w:ascii="Calibri" w:hAnsi="Calibri" w:cs="Arial"/>
                <w:sz w:val="20"/>
                <w:szCs w:val="20"/>
              </w:rPr>
              <w:t xml:space="preserve">Presses </w:t>
            </w:r>
            <w:proofErr w:type="spellStart"/>
            <w:r w:rsidRPr="009C030E">
              <w:rPr>
                <w:rFonts w:ascii="Calibri" w:hAnsi="Calibri" w:cs="Arial"/>
                <w:sz w:val="20"/>
                <w:szCs w:val="20"/>
              </w:rPr>
              <w:t>Universitaires</w:t>
            </w:r>
            <w:proofErr w:type="spellEnd"/>
            <w:r w:rsidRPr="009C030E">
              <w:rPr>
                <w:rFonts w:ascii="Calibri" w:hAnsi="Calibri" w:cs="Arial"/>
                <w:sz w:val="20"/>
                <w:szCs w:val="20"/>
              </w:rPr>
              <w:t xml:space="preserve"> </w:t>
            </w:r>
            <w:proofErr w:type="spellStart"/>
            <w:r w:rsidRPr="009C030E">
              <w:rPr>
                <w:rFonts w:ascii="Calibri" w:hAnsi="Calibri" w:cs="Arial"/>
                <w:sz w:val="20"/>
                <w:szCs w:val="20"/>
              </w:rPr>
              <w:t>Françaises</w:t>
            </w:r>
            <w:proofErr w:type="spellEnd"/>
            <w:r w:rsidRPr="009C030E">
              <w:rPr>
                <w:rFonts w:ascii="Calibri" w:hAnsi="Calibri" w:cs="Arial"/>
                <w:sz w:val="20"/>
                <w:szCs w:val="20"/>
              </w:rPr>
              <w:t xml:space="preserve">, pp. 235–249. </w:t>
            </w:r>
          </w:p>
          <w:p w:rsidR="000879B8" w:rsidRPr="000879B8" w:rsidRDefault="005E0AE9" w:rsidP="005E0AE9">
            <w:pPr>
              <w:jc w:val="both"/>
              <w:rPr>
                <w:rFonts w:asciiTheme="minorHAnsi" w:hAnsiTheme="minorHAnsi" w:cstheme="minorHAnsi"/>
                <w:b/>
                <w:sz w:val="20"/>
              </w:rPr>
            </w:pPr>
            <w:proofErr w:type="spellStart"/>
            <w:r w:rsidRPr="009C030E">
              <w:rPr>
                <w:rFonts w:ascii="Calibri" w:hAnsi="Calibri" w:cs="Arial"/>
                <w:sz w:val="20"/>
                <w:szCs w:val="20"/>
              </w:rPr>
              <w:t>Vlachou</w:t>
            </w:r>
            <w:proofErr w:type="spellEnd"/>
            <w:r w:rsidRPr="009C030E">
              <w:rPr>
                <w:rFonts w:ascii="Calibri" w:hAnsi="Calibri" w:cs="Arial"/>
                <w:sz w:val="20"/>
                <w:szCs w:val="20"/>
              </w:rPr>
              <w:t xml:space="preserve">, E., 2007. </w:t>
            </w:r>
            <w:r w:rsidRPr="009C030E">
              <w:rPr>
                <w:rFonts w:ascii="Calibri" w:hAnsi="Calibri" w:cs="Arial"/>
                <w:i/>
                <w:sz w:val="20"/>
                <w:szCs w:val="20"/>
              </w:rPr>
              <w:t xml:space="preserve">Free Choice </w:t>
            </w:r>
            <w:proofErr w:type="gramStart"/>
            <w:r w:rsidRPr="009C030E">
              <w:rPr>
                <w:rFonts w:ascii="Calibri" w:hAnsi="Calibri" w:cs="Arial"/>
                <w:i/>
                <w:sz w:val="20"/>
                <w:szCs w:val="20"/>
              </w:rPr>
              <w:t>In</w:t>
            </w:r>
            <w:proofErr w:type="gramEnd"/>
            <w:r w:rsidRPr="009C030E">
              <w:rPr>
                <w:rFonts w:ascii="Calibri" w:hAnsi="Calibri" w:cs="Arial"/>
                <w:i/>
                <w:sz w:val="20"/>
                <w:szCs w:val="20"/>
              </w:rPr>
              <w:t xml:space="preserve"> and Out of Context: Semantics and Distribution of French, Greek and English Free Choice Items</w:t>
            </w:r>
            <w:r w:rsidRPr="009C030E">
              <w:rPr>
                <w:rFonts w:ascii="Calibri" w:hAnsi="Calibri" w:cs="Arial"/>
                <w:sz w:val="20"/>
                <w:szCs w:val="20"/>
              </w:rPr>
              <w:t xml:space="preserve">. </w:t>
            </w:r>
            <w:proofErr w:type="spellStart"/>
            <w:r w:rsidRPr="009C030E">
              <w:rPr>
                <w:rFonts w:ascii="Calibri" w:hAnsi="Calibri" w:cs="Arial"/>
                <w:sz w:val="20"/>
                <w:szCs w:val="20"/>
              </w:rPr>
              <w:t>Διδ</w:t>
            </w:r>
            <w:proofErr w:type="spellEnd"/>
            <w:r w:rsidRPr="009C030E">
              <w:rPr>
                <w:rFonts w:ascii="Calibri" w:hAnsi="Calibri" w:cs="Arial"/>
                <w:sz w:val="20"/>
                <w:szCs w:val="20"/>
              </w:rPr>
              <w:t xml:space="preserve">ακτορική </w:t>
            </w:r>
            <w:proofErr w:type="spellStart"/>
            <w:r w:rsidRPr="009C030E">
              <w:rPr>
                <w:rFonts w:ascii="Calibri" w:hAnsi="Calibri" w:cs="Arial"/>
                <w:sz w:val="20"/>
                <w:szCs w:val="20"/>
              </w:rPr>
              <w:t>δι</w:t>
            </w:r>
            <w:proofErr w:type="spellEnd"/>
            <w:r w:rsidRPr="009C030E">
              <w:rPr>
                <w:rFonts w:ascii="Calibri" w:hAnsi="Calibri" w:cs="Arial"/>
                <w:sz w:val="20"/>
                <w:szCs w:val="20"/>
              </w:rPr>
              <w:t xml:space="preserve">ατριβή </w:t>
            </w:r>
            <w:proofErr w:type="spellStart"/>
            <w:r w:rsidRPr="009C030E">
              <w:rPr>
                <w:rFonts w:ascii="Calibri" w:hAnsi="Calibri" w:cs="Arial"/>
                <w:sz w:val="20"/>
                <w:szCs w:val="20"/>
              </w:rPr>
              <w:t>δημοσιευμένη</w:t>
            </w:r>
            <w:proofErr w:type="spellEnd"/>
            <w:r w:rsidRPr="009C030E">
              <w:rPr>
                <w:rFonts w:ascii="Calibri" w:hAnsi="Calibri" w:cs="Arial"/>
                <w:sz w:val="20"/>
                <w:szCs w:val="20"/>
              </w:rPr>
              <w:t xml:space="preserve"> </w:t>
            </w:r>
            <w:proofErr w:type="spellStart"/>
            <w:r w:rsidRPr="009C030E">
              <w:rPr>
                <w:rFonts w:ascii="Calibri" w:hAnsi="Calibri" w:cs="Arial"/>
                <w:sz w:val="20"/>
                <w:szCs w:val="20"/>
              </w:rPr>
              <w:t>στο</w:t>
            </w:r>
            <w:proofErr w:type="spellEnd"/>
            <w:r w:rsidRPr="009C030E">
              <w:rPr>
                <w:rFonts w:ascii="Calibri" w:hAnsi="Calibri" w:cs="Arial"/>
                <w:sz w:val="20"/>
                <w:szCs w:val="20"/>
              </w:rPr>
              <w:t xml:space="preserve"> LOT dissertation series 156.  </w:t>
            </w:r>
          </w:p>
        </w:tc>
      </w:tr>
    </w:tbl>
    <w:p w:rsidR="004E5708" w:rsidRPr="007A035D" w:rsidRDefault="004E5708" w:rsidP="008E7B46">
      <w:pPr>
        <w:rPr>
          <w:rFonts w:asciiTheme="minorHAnsi" w:hAnsiTheme="minorHAnsi"/>
          <w:sz w:val="20"/>
          <w:szCs w:val="20"/>
        </w:rPr>
      </w:pPr>
    </w:p>
    <w:sectPr w:rsidR="004E5708" w:rsidRPr="007A03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4000ACFF" w:usb2="00000001" w:usb3="00000000" w:csb0="000001FF" w:csb1="00000000"/>
  </w:font>
  <w:font w:name="Verdana">
    <w:panose1 w:val="020B0604030504040204"/>
    <w:charset w:val="A1"/>
    <w:family w:val="swiss"/>
    <w:pitch w:val="variable"/>
    <w:sig w:usb0="A10006FF" w:usb1="4000205B" w:usb2="00000010" w:usb3="00000000" w:csb0="0000019F" w:csb1="00000000"/>
  </w:font>
  <w:font w:name="Times">
    <w:panose1 w:val="02020603050405020304"/>
    <w:charset w:val="A1"/>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A0002AEF" w:usb1="4000207B" w:usb2="00000000"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A4A"/>
    <w:multiLevelType w:val="hybridMultilevel"/>
    <w:tmpl w:val="5D782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E362F23"/>
    <w:multiLevelType w:val="hybridMultilevel"/>
    <w:tmpl w:val="7A406A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11F3570"/>
    <w:multiLevelType w:val="hybridMultilevel"/>
    <w:tmpl w:val="923A41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B840BD"/>
    <w:multiLevelType w:val="hybridMultilevel"/>
    <w:tmpl w:val="197E48BC"/>
    <w:lvl w:ilvl="0" w:tplc="645808E2">
      <w:numFmt w:val="bullet"/>
      <w:lvlText w:val="-"/>
      <w:lvlJc w:val="left"/>
      <w:pPr>
        <w:tabs>
          <w:tab w:val="num" w:pos="720"/>
        </w:tabs>
        <w:ind w:left="720" w:hanging="360"/>
      </w:pPr>
      <w:rPr>
        <w:rFonts w:ascii="Georgia" w:eastAsia="Times New Roman" w:hAnsi="Georgi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26A2F"/>
    <w:rsid w:val="000879B8"/>
    <w:rsid w:val="001A7AFC"/>
    <w:rsid w:val="002E39CB"/>
    <w:rsid w:val="00385D08"/>
    <w:rsid w:val="004E5708"/>
    <w:rsid w:val="005E0AE9"/>
    <w:rsid w:val="006A5419"/>
    <w:rsid w:val="006A5903"/>
    <w:rsid w:val="007314D7"/>
    <w:rsid w:val="007A035D"/>
    <w:rsid w:val="008865E5"/>
    <w:rsid w:val="008E7B46"/>
    <w:rsid w:val="009E6AC9"/>
    <w:rsid w:val="00A72ABD"/>
    <w:rsid w:val="00A771EB"/>
    <w:rsid w:val="00A87A62"/>
    <w:rsid w:val="00B22020"/>
    <w:rsid w:val="00B43833"/>
    <w:rsid w:val="00C36535"/>
    <w:rsid w:val="00CC1EC5"/>
    <w:rsid w:val="00E366E9"/>
    <w:rsid w:val="00FA42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CA30"/>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styleId="Emphasis">
    <w:name w:val="Emphasis"/>
    <w:basedOn w:val="DefaultParagraphFont"/>
    <w:uiPriority w:val="20"/>
    <w:qFormat/>
    <w:rsid w:val="00B43833"/>
    <w:rPr>
      <w:i/>
      <w:iCs/>
    </w:rPr>
  </w:style>
  <w:style w:type="paragraph" w:styleId="NormalWeb">
    <w:name w:val="Normal (Web)"/>
    <w:basedOn w:val="Normal"/>
    <w:unhideWhenUsed/>
    <w:rsid w:val="00B43833"/>
    <w:pPr>
      <w:spacing w:before="100" w:beforeAutospacing="1" w:after="100" w:afterAutospacing="1"/>
    </w:pPr>
    <w:rPr>
      <w:lang w:val="el-GR" w:eastAsia="el-GR"/>
    </w:rPr>
  </w:style>
  <w:style w:type="character" w:styleId="HTMLCite">
    <w:name w:val="HTML Cite"/>
    <w:basedOn w:val="DefaultParagraphFont"/>
    <w:rsid w:val="00B43833"/>
    <w:rPr>
      <w:rFonts w:ascii="Verdana" w:hAnsi="Verdana" w:hint="default"/>
      <w:i w:val="0"/>
      <w:iCs w:val="0"/>
    </w:rPr>
  </w:style>
  <w:style w:type="paragraph" w:customStyle="1" w:styleId="a">
    <w:name w:val="Παράγραφος λίστας"/>
    <w:basedOn w:val="Normal"/>
    <w:qFormat/>
    <w:rsid w:val="002E39CB"/>
    <w:pPr>
      <w:ind w:left="720"/>
    </w:pPr>
  </w:style>
  <w:style w:type="paragraph" w:customStyle="1" w:styleId="References">
    <w:name w:val="References"/>
    <w:basedOn w:val="Normal"/>
    <w:rsid w:val="002E39CB"/>
    <w:pPr>
      <w:ind w:left="720" w:hanging="720"/>
    </w:pPr>
    <w:rPr>
      <w:rFonts w:eastAsia="Times"/>
      <w:sz w:val="20"/>
      <w:szCs w:val="20"/>
      <w:lang w:val="en-AU"/>
    </w:rPr>
  </w:style>
  <w:style w:type="paragraph" w:customStyle="1" w:styleId="Ref">
    <w:name w:val="Ref"/>
    <w:rsid w:val="000879B8"/>
    <w:pPr>
      <w:keepLines/>
      <w:spacing w:after="0" w:line="240" w:lineRule="auto"/>
      <w:ind w:left="340" w:hanging="340"/>
      <w:jc w:val="both"/>
    </w:pPr>
    <w:rPr>
      <w:rFonts w:ascii="Times New Roman" w:eastAsia="PMingLiU" w:hAnsi="Times New Roman" w:cs="Times New Roman"/>
      <w:szCs w:val="20"/>
      <w:lang w:val="en-GB"/>
    </w:rPr>
  </w:style>
  <w:style w:type="paragraph" w:styleId="BodyText">
    <w:name w:val="Body Text"/>
    <w:basedOn w:val="Normal"/>
    <w:link w:val="BodyTextChar"/>
    <w:uiPriority w:val="99"/>
    <w:rsid w:val="004E5708"/>
    <w:pPr>
      <w:jc w:val="both"/>
    </w:pPr>
  </w:style>
  <w:style w:type="character" w:customStyle="1" w:styleId="BodyTextChar">
    <w:name w:val="Body Text Char"/>
    <w:basedOn w:val="DefaultParagraphFont"/>
    <w:link w:val="BodyText"/>
    <w:uiPriority w:val="99"/>
    <w:rsid w:val="004E570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1427</Words>
  <Characters>7711</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Evangelia Vlachou</cp:lastModifiedBy>
  <cp:revision>17</cp:revision>
  <dcterms:created xsi:type="dcterms:W3CDTF">2017-03-09T12:36:00Z</dcterms:created>
  <dcterms:modified xsi:type="dcterms:W3CDTF">2017-05-30T13:19:00Z</dcterms:modified>
</cp:coreProperties>
</file>