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200"/>
        <w:gridCol w:w="1732"/>
        <w:gridCol w:w="2086"/>
        <w:gridCol w:w="578"/>
        <w:gridCol w:w="2105"/>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Ανθρωπιστικών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3A5A2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3A5A23" w:rsidP="007673F3">
            <w:pPr>
              <w:rPr>
                <w:rFonts w:ascii="Calibri" w:hAnsi="Calibri" w:cs="Arial"/>
                <w:b/>
                <w:sz w:val="20"/>
                <w:szCs w:val="20"/>
                <w:lang w:val="el-GR"/>
              </w:rPr>
            </w:pPr>
            <w:r>
              <w:rPr>
                <w:rFonts w:ascii="Calibri" w:hAnsi="Calibri" w:cs="Arial"/>
                <w:b/>
                <w:sz w:val="20"/>
                <w:szCs w:val="20"/>
                <w:lang w:val="el-GR"/>
              </w:rPr>
              <w:t>Η’</w:t>
            </w:r>
          </w:p>
        </w:tc>
      </w:tr>
      <w:tr w:rsidR="000F4FD4" w:rsidRPr="00E11147"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3A5A23" w:rsidRDefault="003A5A23" w:rsidP="007673F3">
            <w:pPr>
              <w:rPr>
                <w:rFonts w:ascii="Calibri" w:hAnsi="Calibri" w:cs="Arial"/>
                <w:sz w:val="20"/>
                <w:szCs w:val="20"/>
                <w:lang w:val="el-GR"/>
              </w:rPr>
            </w:pPr>
            <w:r>
              <w:rPr>
                <w:rFonts w:ascii="Calibri" w:hAnsi="Calibri" w:cs="Arial"/>
                <w:sz w:val="20"/>
                <w:szCs w:val="20"/>
                <w:lang w:val="el-GR"/>
              </w:rPr>
              <w:t>Θεωρία και Πολιτική της Ανάπτυξης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3A5A23" w:rsidP="007673F3">
            <w:pPr>
              <w:jc w:val="right"/>
              <w:rPr>
                <w:rFonts w:ascii="Calibri" w:hAnsi="Calibri" w:cs="Arial"/>
                <w:color w:val="002060"/>
                <w:sz w:val="20"/>
                <w:szCs w:val="20"/>
                <w:lang w:val="el-GR"/>
              </w:rPr>
            </w:pPr>
            <w:r w:rsidRPr="00705AAD">
              <w:rPr>
                <w:rFonts w:ascii="Calibri" w:hAnsi="Calibri" w:cs="Arial"/>
                <w:i/>
                <w:sz w:val="18"/>
                <w:szCs w:val="18"/>
                <w:lang w:val="el-GR"/>
              </w:rPr>
              <w:t>Διαλέξεις</w:t>
            </w:r>
          </w:p>
        </w:tc>
        <w:tc>
          <w:tcPr>
            <w:tcW w:w="1559" w:type="dxa"/>
            <w:gridSpan w:val="2"/>
          </w:tcPr>
          <w:p w:rsidR="000F4FD4" w:rsidRPr="00705AAD" w:rsidRDefault="003A5A23" w:rsidP="007673F3">
            <w:pPr>
              <w:jc w:val="center"/>
              <w:rPr>
                <w:rFonts w:ascii="Calibri" w:hAnsi="Calibri" w:cs="Arial"/>
                <w:color w:val="002060"/>
                <w:sz w:val="20"/>
                <w:szCs w:val="20"/>
                <w:lang w:val="el-GR"/>
              </w:rPr>
            </w:pPr>
            <w:r>
              <w:rPr>
                <w:rFonts w:ascii="Calibri" w:hAnsi="Calibri" w:cs="Arial"/>
                <w:color w:val="002060"/>
                <w:sz w:val="20"/>
                <w:szCs w:val="20"/>
                <w:lang w:val="el-GR"/>
              </w:rPr>
              <w:t>3 ώρες Χ 13 εβδομάδες</w:t>
            </w:r>
          </w:p>
        </w:tc>
        <w:tc>
          <w:tcPr>
            <w:tcW w:w="1240" w:type="dxa"/>
          </w:tcPr>
          <w:p w:rsidR="000F4FD4" w:rsidRPr="00705AAD" w:rsidRDefault="00F44C56"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E11147"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3A5A23" w:rsidRDefault="003A5A23" w:rsidP="003A5A23">
            <w:pPr>
              <w:rPr>
                <w:rFonts w:ascii="Calibri" w:hAnsi="Calibri" w:cs="Arial"/>
                <w:i/>
                <w:sz w:val="16"/>
                <w:szCs w:val="16"/>
                <w:lang w:val="el-GR"/>
              </w:rPr>
            </w:pPr>
            <w:r>
              <w:rPr>
                <w:rFonts w:ascii="Calibri" w:hAnsi="Calibri" w:cs="Arial"/>
                <w:i/>
                <w:sz w:val="16"/>
                <w:szCs w:val="16"/>
                <w:lang w:val="el-GR"/>
              </w:rPr>
              <w:t>Ε</w:t>
            </w:r>
            <w:r w:rsidRPr="001E191C">
              <w:rPr>
                <w:rFonts w:ascii="Calibri" w:hAnsi="Calibri" w:cs="Arial"/>
                <w:i/>
                <w:sz w:val="16"/>
                <w:szCs w:val="16"/>
                <w:lang w:val="el-GR"/>
              </w:rPr>
              <w:t>ιδίκευσης γενικών γνώσεων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E11147"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3A5A23"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C62FE8" w:rsidP="007673F3">
            <w:pPr>
              <w:rPr>
                <w:rFonts w:ascii="Calibri" w:hAnsi="Calibri" w:cs="Arial"/>
                <w:color w:val="002060"/>
                <w:sz w:val="20"/>
                <w:szCs w:val="20"/>
                <w:lang w:val="el-GR"/>
              </w:rPr>
            </w:pPr>
            <w:r>
              <w:rPr>
                <w:rFonts w:ascii="Calibri" w:hAnsi="Calibri" w:cs="Arial"/>
                <w:color w:val="002060"/>
                <w:sz w:val="20"/>
                <w:szCs w:val="20"/>
                <w:lang w:val="el-GR"/>
              </w:rPr>
              <w:t>Ναι (στην ελληνική γλώσσα)</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3A5A23" w:rsidP="007673F3">
            <w:pPr>
              <w:spacing w:after="200" w:line="276" w:lineRule="auto"/>
              <w:rPr>
                <w:rFonts w:ascii="Calibri" w:eastAsia="Calibri" w:hAnsi="Calibri" w:cs="Arial"/>
                <w:color w:val="002060"/>
                <w:sz w:val="20"/>
                <w:szCs w:val="20"/>
                <w:lang w:val="en-GB"/>
              </w:rPr>
            </w:pPr>
            <w:r w:rsidRPr="003A5A23">
              <w:rPr>
                <w:rFonts w:ascii="Calibri" w:eastAsia="Calibri" w:hAnsi="Calibri" w:cs="Arial"/>
                <w:color w:val="002060"/>
                <w:sz w:val="20"/>
                <w:szCs w:val="20"/>
                <w:lang w:val="en-GB"/>
              </w:rPr>
              <w:t>http://dms.aegean.gr/content/uploads/2016/09/%CE%98%CE%B5%CF%89%CF%81%CE%AF%CE%B1-%CE%BA%CE%B1%CE%B9-%CE%A0%CE%BF%CE%BB%CE%B9%CF%84%CE%B9%CE%BA%CE%AE-%CF%84%CE%B7%CF%82-%CE%91%CE%BD%CE%AC%CF%80%CF%84%CF%85%CE%BE%CE%B7%CF%82.pdf</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11147"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11147"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2143E1" w:rsidRDefault="002143E1" w:rsidP="002143E1">
            <w:pPr>
              <w:pStyle w:val="Web"/>
              <w:spacing w:before="0" w:beforeAutospacing="0" w:after="0" w:afterAutospacing="0"/>
              <w:jc w:val="both"/>
              <w:rPr>
                <w:rFonts w:ascii="Book Antiqua" w:hAnsi="Book Antiqua"/>
                <w:color w:val="222222"/>
              </w:rPr>
            </w:pPr>
            <w:r w:rsidRPr="00B71FA6">
              <w:rPr>
                <w:rStyle w:val="hps"/>
                <w:rFonts w:ascii="Book Antiqua" w:hAnsi="Book Antiqua"/>
                <w:color w:val="222222"/>
              </w:rPr>
              <w:t>Μέχρι το τέλος</w:t>
            </w:r>
            <w:r w:rsidRPr="00B71FA6">
              <w:rPr>
                <w:rFonts w:ascii="Book Antiqua" w:hAnsi="Book Antiqua"/>
                <w:color w:val="222222"/>
              </w:rPr>
              <w:t xml:space="preserve"> </w:t>
            </w:r>
            <w:r w:rsidRPr="00B71FA6">
              <w:rPr>
                <w:rStyle w:val="hps"/>
                <w:rFonts w:ascii="Book Antiqua" w:hAnsi="Book Antiqua"/>
                <w:color w:val="222222"/>
              </w:rPr>
              <w:t>του μαθήματος</w:t>
            </w:r>
            <w:r w:rsidRPr="00B71FA6">
              <w:rPr>
                <w:rFonts w:ascii="Book Antiqua" w:hAnsi="Book Antiqua"/>
                <w:color w:val="222222"/>
              </w:rPr>
              <w:t xml:space="preserve">, </w:t>
            </w:r>
            <w:r w:rsidRPr="00B71FA6">
              <w:rPr>
                <w:rStyle w:val="hps"/>
                <w:rFonts w:ascii="Book Antiqua" w:hAnsi="Book Antiqua"/>
                <w:color w:val="222222"/>
              </w:rPr>
              <w:t>αναμένεται ότι</w:t>
            </w:r>
            <w:r w:rsidRPr="00B71FA6">
              <w:rPr>
                <w:rFonts w:ascii="Book Antiqua" w:hAnsi="Book Antiqua"/>
                <w:color w:val="222222"/>
              </w:rPr>
              <w:t xml:space="preserve"> </w:t>
            </w:r>
            <w:r w:rsidRPr="00B71FA6">
              <w:rPr>
                <w:rStyle w:val="hps"/>
                <w:rFonts w:ascii="Book Antiqua" w:hAnsi="Book Antiqua"/>
                <w:color w:val="222222"/>
              </w:rPr>
              <w:t>οι φοιτητές θα</w:t>
            </w:r>
            <w:r w:rsidRPr="00B71FA6">
              <w:rPr>
                <w:rFonts w:ascii="Book Antiqua" w:hAnsi="Book Antiqua"/>
                <w:color w:val="222222"/>
              </w:rPr>
              <w:t xml:space="preserve"> </w:t>
            </w:r>
            <w:r w:rsidR="00C62FE8">
              <w:rPr>
                <w:rStyle w:val="hps"/>
                <w:rFonts w:ascii="Book Antiqua" w:hAnsi="Book Antiqua"/>
                <w:color w:val="222222"/>
              </w:rPr>
              <w:t>είναι σε θέση</w:t>
            </w:r>
            <w:r w:rsidRPr="00B71FA6">
              <w:rPr>
                <w:rFonts w:ascii="Book Antiqua" w:hAnsi="Book Antiqua"/>
                <w:color w:val="222222"/>
              </w:rPr>
              <w:t>:</w:t>
            </w:r>
          </w:p>
          <w:p w:rsidR="002143E1" w:rsidRPr="004B6CAB" w:rsidRDefault="00C62FE8" w:rsidP="002143E1">
            <w:pPr>
              <w:pStyle w:val="Web"/>
              <w:numPr>
                <w:ilvl w:val="0"/>
                <w:numId w:val="47"/>
              </w:numPr>
              <w:spacing w:before="0" w:beforeAutospacing="0" w:after="0" w:afterAutospacing="0"/>
              <w:jc w:val="both"/>
              <w:rPr>
                <w:rStyle w:val="hps"/>
                <w:rFonts w:ascii="Book Antiqua" w:hAnsi="Book Antiqua"/>
                <w:color w:val="222222"/>
                <w:lang w:eastAsia="en-US"/>
              </w:rPr>
            </w:pPr>
            <w:r>
              <w:rPr>
                <w:rStyle w:val="hps"/>
                <w:rFonts w:ascii="Book Antiqua" w:hAnsi="Book Antiqua"/>
                <w:color w:val="222222"/>
                <w:lang w:eastAsia="en-US"/>
              </w:rPr>
              <w:t xml:space="preserve">Να </w:t>
            </w:r>
            <w:r w:rsidR="002143E1" w:rsidRPr="004B6CAB">
              <w:rPr>
                <w:rStyle w:val="hps"/>
                <w:rFonts w:ascii="Book Antiqua" w:hAnsi="Book Antiqua"/>
                <w:color w:val="222222"/>
                <w:lang w:eastAsia="en-US"/>
              </w:rPr>
              <w:t xml:space="preserve">γνωρίζουν πως συγκροτήθηκε το πεδίο μελέτης της θεωρίας της ανάπτυξης </w:t>
            </w:r>
          </w:p>
          <w:p w:rsidR="002143E1" w:rsidRPr="004B6CAB" w:rsidRDefault="00C62FE8" w:rsidP="002143E1">
            <w:pPr>
              <w:pStyle w:val="Web"/>
              <w:numPr>
                <w:ilvl w:val="0"/>
                <w:numId w:val="47"/>
              </w:numPr>
              <w:spacing w:before="0" w:beforeAutospacing="0" w:after="0" w:afterAutospacing="0"/>
              <w:jc w:val="both"/>
              <w:rPr>
                <w:rStyle w:val="hps"/>
                <w:rFonts w:ascii="Book Antiqua" w:hAnsi="Book Antiqua"/>
                <w:color w:val="222222"/>
                <w:lang w:eastAsia="en-US"/>
              </w:rPr>
            </w:pPr>
            <w:r>
              <w:rPr>
                <w:rStyle w:val="hps"/>
                <w:rFonts w:ascii="Book Antiqua" w:hAnsi="Book Antiqua"/>
                <w:color w:val="222222"/>
                <w:lang w:eastAsia="en-US"/>
              </w:rPr>
              <w:t xml:space="preserve">Να </w:t>
            </w:r>
            <w:r w:rsidR="002143E1" w:rsidRPr="004B6CAB">
              <w:rPr>
                <w:rStyle w:val="hps"/>
                <w:rFonts w:ascii="Book Antiqua" w:hAnsi="Book Antiqua"/>
                <w:color w:val="222222"/>
                <w:lang w:eastAsia="en-US"/>
              </w:rPr>
              <w:t>κατανοήσουν τους λόγους ανάπτυξης και υπανάπτυξης</w:t>
            </w:r>
            <w:r w:rsidR="002143E1">
              <w:rPr>
                <w:rStyle w:val="hps"/>
                <w:rFonts w:ascii="Book Antiqua" w:hAnsi="Book Antiqua"/>
                <w:color w:val="222222"/>
                <w:lang w:eastAsia="en-US"/>
              </w:rPr>
              <w:t xml:space="preserve"> </w:t>
            </w:r>
          </w:p>
          <w:p w:rsidR="002143E1" w:rsidRPr="004B6CAB" w:rsidRDefault="00C62FE8" w:rsidP="002143E1">
            <w:pPr>
              <w:numPr>
                <w:ilvl w:val="0"/>
                <w:numId w:val="46"/>
              </w:numPr>
              <w:rPr>
                <w:rStyle w:val="hps"/>
                <w:rFonts w:ascii="Book Antiqua" w:hAnsi="Book Antiqua"/>
                <w:lang w:val="el-GR"/>
              </w:rPr>
            </w:pPr>
            <w:r>
              <w:rPr>
                <w:rStyle w:val="hps"/>
                <w:rFonts w:ascii="Book Antiqua" w:hAnsi="Book Antiqua"/>
                <w:color w:val="222222"/>
                <w:lang w:val="el-GR"/>
              </w:rPr>
              <w:t xml:space="preserve">Να </w:t>
            </w:r>
            <w:r w:rsidR="002143E1" w:rsidRPr="004B6CAB">
              <w:rPr>
                <w:rStyle w:val="hps"/>
                <w:rFonts w:ascii="Book Antiqua" w:hAnsi="Book Antiqua"/>
                <w:color w:val="222222"/>
                <w:lang w:val="el-GR"/>
              </w:rPr>
              <w:t>αξιολογούν εναλλακτικές</w:t>
            </w:r>
            <w:r w:rsidR="002143E1" w:rsidRPr="004B6CAB">
              <w:rPr>
                <w:rStyle w:val="hps"/>
                <w:lang w:val="el-GR"/>
              </w:rPr>
              <w:t xml:space="preserve"> </w:t>
            </w:r>
            <w:r w:rsidR="002143E1" w:rsidRPr="004B6CAB">
              <w:rPr>
                <w:rStyle w:val="hps"/>
                <w:rFonts w:ascii="Book Antiqua" w:hAnsi="Book Antiqua"/>
                <w:color w:val="222222"/>
                <w:lang w:val="el-GR"/>
              </w:rPr>
              <w:t>ερμηνείες για τις εξελίξεις</w:t>
            </w:r>
            <w:r w:rsidR="002143E1" w:rsidRPr="004B6CAB">
              <w:rPr>
                <w:rStyle w:val="hps"/>
                <w:lang w:val="el-GR"/>
              </w:rPr>
              <w:t xml:space="preserve"> </w:t>
            </w:r>
            <w:r w:rsidR="002143E1" w:rsidRPr="004B6CAB">
              <w:rPr>
                <w:rStyle w:val="hps"/>
                <w:rFonts w:ascii="Book Antiqua" w:hAnsi="Book Antiqua"/>
                <w:color w:val="222222"/>
                <w:lang w:val="el-GR"/>
              </w:rPr>
              <w:t xml:space="preserve">και </w:t>
            </w:r>
            <w:r w:rsidR="002143E1">
              <w:rPr>
                <w:rStyle w:val="hps"/>
                <w:rFonts w:ascii="Book Antiqua" w:hAnsi="Book Antiqua"/>
                <w:color w:val="222222"/>
                <w:lang w:val="el-GR"/>
              </w:rPr>
              <w:t>τις πολιτικές που επηρέασαν την μεταπολεμική ανάπτυξη</w:t>
            </w:r>
            <w:r w:rsidR="002143E1" w:rsidRPr="004B6CAB">
              <w:rPr>
                <w:rFonts w:ascii="Book Antiqua" w:hAnsi="Book Antiqua"/>
                <w:color w:val="222222"/>
                <w:lang w:val="el-GR"/>
              </w:rPr>
              <w:t xml:space="preserve"> </w:t>
            </w:r>
          </w:p>
          <w:p w:rsidR="00F03B25" w:rsidRPr="00C62FE8" w:rsidRDefault="00C62FE8" w:rsidP="002143E1">
            <w:pPr>
              <w:numPr>
                <w:ilvl w:val="0"/>
                <w:numId w:val="46"/>
              </w:numPr>
              <w:rPr>
                <w:rStyle w:val="hps"/>
                <w:rFonts w:ascii="Book Antiqua" w:hAnsi="Book Antiqua"/>
                <w:lang w:val="el-GR"/>
              </w:rPr>
            </w:pPr>
            <w:r>
              <w:rPr>
                <w:rStyle w:val="hps"/>
                <w:rFonts w:ascii="Book Antiqua" w:hAnsi="Book Antiqua"/>
                <w:color w:val="222222"/>
                <w:lang w:val="el-GR"/>
              </w:rPr>
              <w:t xml:space="preserve">Να </w:t>
            </w:r>
            <w:r w:rsidR="002143E1" w:rsidRPr="004B6CAB">
              <w:rPr>
                <w:rStyle w:val="hps"/>
                <w:rFonts w:ascii="Book Antiqua" w:hAnsi="Book Antiqua"/>
                <w:color w:val="222222"/>
                <w:lang w:val="el-GR"/>
              </w:rPr>
              <w:t xml:space="preserve">κατανοήσουν σημαντικά ζητήματα </w:t>
            </w:r>
            <w:r w:rsidR="002143E1">
              <w:rPr>
                <w:rStyle w:val="hps"/>
                <w:rFonts w:ascii="Book Antiqua" w:hAnsi="Book Antiqua"/>
                <w:color w:val="222222"/>
                <w:lang w:val="el-GR"/>
              </w:rPr>
              <w:t>της σύγχρονης ανάπτυξης όπως η σχέση εισοδηματικής ισότητας και ανάπτυξης, η σημασία της παγκοσμιοποίησης για την ανάπτυξη, η σχέση μεγέθυνσης και περιβάλλοντος, κλπ.</w:t>
            </w:r>
          </w:p>
          <w:p w:rsidR="00C62FE8" w:rsidRPr="002143E1" w:rsidRDefault="00C62FE8" w:rsidP="002143E1">
            <w:pPr>
              <w:numPr>
                <w:ilvl w:val="0"/>
                <w:numId w:val="46"/>
              </w:numPr>
              <w:rPr>
                <w:rFonts w:ascii="Book Antiqua" w:hAnsi="Book Antiqua"/>
                <w:lang w:val="el-GR"/>
              </w:rPr>
            </w:pPr>
            <w:r>
              <w:rPr>
                <w:rStyle w:val="hps"/>
                <w:rFonts w:ascii="Book Antiqua" w:hAnsi="Book Antiqua"/>
                <w:color w:val="222222"/>
                <w:lang w:val="el-GR"/>
              </w:rPr>
              <w:t>Να κατανοήσουν τα αναπτυξιακά ζητήματα των σύγχρονων οικονομιών του Μεσογειακού χώρου.</w:t>
            </w: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11147"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E11147" w:rsidTr="00305D37">
        <w:tc>
          <w:tcPr>
            <w:tcW w:w="8472" w:type="dxa"/>
            <w:gridSpan w:val="2"/>
            <w:tcBorders>
              <w:bottom w:val="single" w:sz="4" w:space="0" w:color="auto"/>
            </w:tcBorders>
          </w:tcPr>
          <w:p w:rsidR="00511589" w:rsidRPr="00C62FE8" w:rsidRDefault="00511589" w:rsidP="00511589">
            <w:pPr>
              <w:widowControl w:val="0"/>
              <w:autoSpaceDE w:val="0"/>
              <w:autoSpaceDN w:val="0"/>
              <w:adjustRightInd w:val="0"/>
              <w:rPr>
                <w:rFonts w:ascii="Calibri" w:hAnsi="Calibri" w:cs="Arial"/>
                <w:i/>
                <w:sz w:val="16"/>
                <w:szCs w:val="16"/>
                <w:lang w:val="el-GR"/>
              </w:rPr>
            </w:pPr>
            <w:r w:rsidRPr="00C62FE8">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511589" w:rsidRPr="00C62FE8" w:rsidRDefault="00511589" w:rsidP="00511589">
            <w:pPr>
              <w:widowControl w:val="0"/>
              <w:autoSpaceDE w:val="0"/>
              <w:autoSpaceDN w:val="0"/>
              <w:adjustRightInd w:val="0"/>
              <w:rPr>
                <w:rFonts w:ascii="Calibri" w:hAnsi="Calibri" w:cs="Arial"/>
                <w:i/>
                <w:sz w:val="16"/>
                <w:szCs w:val="16"/>
                <w:lang w:val="el-GR"/>
              </w:rPr>
            </w:pPr>
            <w:r w:rsidRPr="00C62FE8">
              <w:rPr>
                <w:rFonts w:ascii="Calibri" w:hAnsi="Calibri" w:cs="Arial"/>
                <w:i/>
                <w:sz w:val="16"/>
                <w:szCs w:val="16"/>
                <w:lang w:val="el-GR"/>
              </w:rPr>
              <w:t xml:space="preserve">Λήψη αποφάσεων </w:t>
            </w:r>
          </w:p>
          <w:p w:rsidR="00511589" w:rsidRPr="00C62FE8" w:rsidRDefault="00511589" w:rsidP="00511589">
            <w:pPr>
              <w:widowControl w:val="0"/>
              <w:autoSpaceDE w:val="0"/>
              <w:autoSpaceDN w:val="0"/>
              <w:adjustRightInd w:val="0"/>
              <w:rPr>
                <w:rFonts w:ascii="Calibri" w:hAnsi="Calibri" w:cs="Arial"/>
                <w:i/>
                <w:sz w:val="16"/>
                <w:szCs w:val="16"/>
                <w:lang w:val="el-GR"/>
              </w:rPr>
            </w:pPr>
            <w:r w:rsidRPr="00C62FE8">
              <w:rPr>
                <w:rFonts w:ascii="Calibri" w:hAnsi="Calibri" w:cs="Arial"/>
                <w:i/>
                <w:sz w:val="16"/>
                <w:szCs w:val="16"/>
                <w:lang w:val="el-GR"/>
              </w:rPr>
              <w:t xml:space="preserve">Εργασία σε διεθνές περιβάλλον </w:t>
            </w:r>
          </w:p>
          <w:p w:rsidR="00511589" w:rsidRPr="00C62FE8" w:rsidRDefault="00511589" w:rsidP="00511589">
            <w:pPr>
              <w:widowControl w:val="0"/>
              <w:autoSpaceDE w:val="0"/>
              <w:autoSpaceDN w:val="0"/>
              <w:adjustRightInd w:val="0"/>
              <w:rPr>
                <w:rFonts w:ascii="Calibri" w:hAnsi="Calibri" w:cs="Arial"/>
                <w:i/>
                <w:sz w:val="16"/>
                <w:szCs w:val="16"/>
                <w:lang w:val="el-GR"/>
              </w:rPr>
            </w:pPr>
            <w:r w:rsidRPr="00C62FE8">
              <w:rPr>
                <w:rFonts w:ascii="Calibri" w:hAnsi="Calibri" w:cs="Arial"/>
                <w:i/>
                <w:sz w:val="16"/>
                <w:szCs w:val="16"/>
                <w:lang w:val="el-GR"/>
              </w:rPr>
              <w:t xml:space="preserve">Εργασία σε διεπιστημονικό περιβάλλον </w:t>
            </w:r>
          </w:p>
          <w:p w:rsidR="00511589" w:rsidRPr="00C62FE8" w:rsidRDefault="00511589" w:rsidP="00511589">
            <w:pPr>
              <w:widowControl w:val="0"/>
              <w:autoSpaceDE w:val="0"/>
              <w:autoSpaceDN w:val="0"/>
              <w:adjustRightInd w:val="0"/>
              <w:rPr>
                <w:rFonts w:ascii="Calibri" w:eastAsia="Calibri" w:hAnsi="Calibri"/>
                <w:color w:val="002060"/>
                <w:lang w:val="el-GR"/>
              </w:rPr>
            </w:pPr>
            <w:r w:rsidRPr="00C62FE8">
              <w:rPr>
                <w:rFonts w:ascii="Calibri" w:hAnsi="Calibri" w:cs="Arial"/>
                <w:i/>
                <w:sz w:val="16"/>
                <w:szCs w:val="16"/>
                <w:lang w:val="el-GR"/>
              </w:rPr>
              <w:t>Παράγωγή νέων ερευνητικών ιδεών</w:t>
            </w:r>
          </w:p>
          <w:p w:rsidR="000F4FD4" w:rsidRPr="00705AAD" w:rsidRDefault="00511589" w:rsidP="00511589">
            <w:pPr>
              <w:rPr>
                <w:rFonts w:ascii="Calibri" w:hAnsi="Calibri" w:cs="Arial"/>
                <w:i/>
                <w:sz w:val="16"/>
                <w:szCs w:val="16"/>
                <w:lang w:val="el-GR"/>
              </w:rPr>
            </w:pPr>
            <w:r w:rsidRPr="00C62FE8">
              <w:rPr>
                <w:rFonts w:ascii="Calibri" w:hAnsi="Calibri" w:cs="Arial"/>
                <w:i/>
                <w:sz w:val="16"/>
                <w:szCs w:val="16"/>
                <w:lang w:val="el-GR"/>
              </w:rPr>
              <w:t>Προαγωγή της ελεύθερης, δημιουργικής</w:t>
            </w:r>
            <w:r w:rsidRPr="00705AAD">
              <w:rPr>
                <w:rFonts w:ascii="Calibri" w:hAnsi="Calibri" w:cs="Arial"/>
                <w:i/>
                <w:sz w:val="16"/>
                <w:szCs w:val="16"/>
                <w:lang w:val="el-GR"/>
              </w:rPr>
              <w:t xml:space="preserve"> και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rsidTr="007673F3">
        <w:tc>
          <w:tcPr>
            <w:tcW w:w="8472" w:type="dxa"/>
          </w:tcPr>
          <w:p w:rsidR="000F4FD4" w:rsidRDefault="000F4FD4" w:rsidP="007673F3">
            <w:pPr>
              <w:rPr>
                <w:rFonts w:ascii="Calibri" w:eastAsia="Calibri" w:hAnsi="Calibri"/>
                <w:iCs/>
                <w:color w:val="002060"/>
                <w:lang w:val="el-GR"/>
              </w:rPr>
            </w:pPr>
          </w:p>
          <w:p w:rsidR="003A5A23" w:rsidRPr="002143E1" w:rsidRDefault="002143E1" w:rsidP="002143E1">
            <w:pPr>
              <w:widowControl w:val="0"/>
              <w:autoSpaceDE w:val="0"/>
              <w:autoSpaceDN w:val="0"/>
              <w:adjustRightInd w:val="0"/>
              <w:spacing w:before="120" w:after="200" w:line="276" w:lineRule="auto"/>
              <w:ind w:left="360"/>
              <w:rPr>
                <w:rFonts w:ascii="Calibri" w:hAnsi="Calibri" w:cs="Arial"/>
                <w:b/>
                <w:color w:val="000000"/>
                <w:lang w:val="el-GR"/>
              </w:rPr>
            </w:pPr>
            <w:r>
              <w:rPr>
                <w:rFonts w:ascii="Calibri" w:hAnsi="Calibri" w:cs="Arial"/>
                <w:b/>
                <w:color w:val="000000"/>
                <w:sz w:val="22"/>
                <w:szCs w:val="22"/>
                <w:lang w:val="el-GR"/>
              </w:rPr>
              <w:t>(3)</w:t>
            </w:r>
            <w:r w:rsidR="003A5A23" w:rsidRPr="00705AAD">
              <w:rPr>
                <w:rFonts w:ascii="Calibri" w:hAnsi="Calibri" w:cs="Arial"/>
                <w:b/>
                <w:color w:val="000000"/>
                <w:sz w:val="22"/>
                <w:szCs w:val="22"/>
                <w:lang w:val="el-GR"/>
              </w:rPr>
              <w:t>ΠΕΡΙΕΧΟΜΕΝΟ ΜΑΘΗΜΑΤΟΣ</w:t>
            </w:r>
          </w:p>
          <w:p w:rsidR="003A5A23" w:rsidRPr="0090187C" w:rsidRDefault="003A5A23" w:rsidP="00C62FE8">
            <w:pPr>
              <w:jc w:val="both"/>
              <w:rPr>
                <w:rFonts w:ascii="Book Antiqua" w:hAnsi="Book Antiqua"/>
                <w:lang w:val="el-GR"/>
              </w:rPr>
            </w:pPr>
            <w:r w:rsidRPr="0090187C">
              <w:rPr>
                <w:rFonts w:ascii="Book Antiqua" w:hAnsi="Book Antiqua"/>
                <w:lang w:val="el-GR"/>
              </w:rPr>
              <w:t>Το μάθημα Θεωρία και Πολιτική της Ανάπτυξης εστιά</w:t>
            </w:r>
            <w:r w:rsidR="00C62FE8">
              <w:rPr>
                <w:rFonts w:ascii="Book Antiqua" w:hAnsi="Book Antiqua"/>
                <w:lang w:val="el-GR"/>
              </w:rPr>
              <w:t>ζει στην</w:t>
            </w:r>
            <w:r w:rsidRPr="0090187C">
              <w:rPr>
                <w:rFonts w:ascii="Book Antiqua" w:hAnsi="Book Antiqua"/>
                <w:lang w:val="el-GR"/>
              </w:rPr>
              <w:t xml:space="preserve"> ανάλυση της διαδικασίας της ανάπτυξης. Αρχικά εξετάζει τον τρόπο με τον οποίο συγκροτήθηκε το πεδίο μελέτης της θεωρίας της ανάπτυξης και στη συνέχεια δίνει έμφαση στους παράγοντες υποστήριξης ή ανάσχεσης της ανάπτυξης των οικονομιών του μεταπολεμικού κόσμου </w:t>
            </w:r>
            <w:r w:rsidR="00E11147">
              <w:rPr>
                <w:rFonts w:ascii="Book Antiqua" w:hAnsi="Book Antiqua"/>
                <w:lang w:val="el-GR"/>
              </w:rPr>
              <w:t>με</w:t>
            </w:r>
            <w:r w:rsidR="00C62FE8">
              <w:rPr>
                <w:rFonts w:ascii="Book Antiqua" w:hAnsi="Book Antiqua"/>
                <w:lang w:val="el-GR"/>
              </w:rPr>
              <w:t xml:space="preserve"> έμφαση στις χώρες της Μεσογείου </w:t>
            </w:r>
            <w:r w:rsidRPr="0090187C">
              <w:rPr>
                <w:rFonts w:ascii="Book Antiqua" w:hAnsi="Book Antiqua"/>
                <w:lang w:val="el-GR"/>
              </w:rPr>
              <w:t>καθώς και στις διαφορετικές θεωρητικές προσεγγίσεις και πολιτικές γύρω από το πρόβλημα της ανάπτυξης. Ειδικότερα στο μάθημα εξετάζεται:</w:t>
            </w:r>
          </w:p>
          <w:p w:rsidR="003A5A23" w:rsidRPr="0090187C" w:rsidRDefault="003A5A23" w:rsidP="003A5A23">
            <w:pPr>
              <w:rPr>
                <w:rFonts w:ascii="Book Antiqua" w:hAnsi="Book Antiqua"/>
                <w:lang w:val="el-GR"/>
              </w:rPr>
            </w:pPr>
            <w:r w:rsidRPr="0090187C">
              <w:rPr>
                <w:rFonts w:ascii="Book Antiqua" w:hAnsi="Book Antiqua"/>
                <w:lang w:val="el-GR"/>
              </w:rPr>
              <w:t>- Η θεωρία της ανάπτυξης ως επιστημονικό πεδίο</w:t>
            </w:r>
          </w:p>
          <w:p w:rsidR="003A5A23" w:rsidRPr="0090187C" w:rsidRDefault="003A5A23" w:rsidP="003A5A23">
            <w:pPr>
              <w:rPr>
                <w:rFonts w:ascii="Book Antiqua" w:hAnsi="Book Antiqua"/>
                <w:lang w:val="el-GR"/>
              </w:rPr>
            </w:pPr>
            <w:r w:rsidRPr="0090187C">
              <w:rPr>
                <w:rFonts w:ascii="Book Antiqua" w:hAnsi="Book Antiqua"/>
                <w:lang w:val="el-GR"/>
              </w:rPr>
              <w:t xml:space="preserve">- Η σχέση οικονομικής ανάπτυξης - μεγέθυνσης </w:t>
            </w:r>
          </w:p>
          <w:p w:rsidR="003A5A23" w:rsidRPr="0090187C" w:rsidRDefault="003A5A23" w:rsidP="003A5A23">
            <w:pPr>
              <w:rPr>
                <w:rFonts w:ascii="Book Antiqua" w:hAnsi="Book Antiqua"/>
                <w:lang w:val="el-GR"/>
              </w:rPr>
            </w:pPr>
            <w:r w:rsidRPr="0090187C">
              <w:rPr>
                <w:rFonts w:ascii="Book Antiqua" w:hAnsi="Book Antiqua"/>
                <w:lang w:val="el-GR"/>
              </w:rPr>
              <w:t>- Τα χα</w:t>
            </w:r>
            <w:r>
              <w:rPr>
                <w:rFonts w:ascii="Book Antiqua" w:hAnsi="Book Antiqua"/>
                <w:lang w:val="el-GR"/>
              </w:rPr>
              <w:t>ρακτηριστικά της μ</w:t>
            </w:r>
            <w:r w:rsidRPr="0090187C">
              <w:rPr>
                <w:rFonts w:ascii="Book Antiqua" w:hAnsi="Book Antiqua"/>
                <w:lang w:val="el-GR"/>
              </w:rPr>
              <w:t>εταπολεμικής ανάπτυξης</w:t>
            </w:r>
          </w:p>
          <w:p w:rsidR="003A5A23" w:rsidRPr="0090187C" w:rsidRDefault="003A5A23" w:rsidP="003A5A23">
            <w:pPr>
              <w:rPr>
                <w:rFonts w:ascii="Book Antiqua" w:hAnsi="Book Antiqua"/>
                <w:lang w:val="el-GR"/>
              </w:rPr>
            </w:pPr>
            <w:r>
              <w:rPr>
                <w:rFonts w:ascii="Book Antiqua" w:hAnsi="Book Antiqua"/>
                <w:lang w:val="el-GR"/>
              </w:rPr>
              <w:t>- Η μ</w:t>
            </w:r>
            <w:r w:rsidRPr="0090187C">
              <w:rPr>
                <w:rFonts w:ascii="Book Antiqua" w:hAnsi="Book Antiqua"/>
                <w:lang w:val="el-GR"/>
              </w:rPr>
              <w:t>έτρηση της οικονομικής ανάπτυξης</w:t>
            </w:r>
          </w:p>
          <w:p w:rsidR="003A5A23" w:rsidRPr="0090187C" w:rsidRDefault="003A5A23" w:rsidP="003A5A23">
            <w:pPr>
              <w:rPr>
                <w:rFonts w:ascii="Book Antiqua" w:hAnsi="Book Antiqua"/>
                <w:lang w:val="el-GR"/>
              </w:rPr>
            </w:pPr>
            <w:r w:rsidRPr="0090187C">
              <w:rPr>
                <w:rFonts w:ascii="Book Antiqua" w:hAnsi="Book Antiqua"/>
                <w:lang w:val="el-GR"/>
              </w:rPr>
              <w:t>- Παράγοντες ανάσχεσης της ανάπτυξης</w:t>
            </w:r>
          </w:p>
          <w:p w:rsidR="003A5A23" w:rsidRPr="0090187C" w:rsidRDefault="003A5A23" w:rsidP="003A5A23">
            <w:pPr>
              <w:rPr>
                <w:rFonts w:ascii="Book Antiqua" w:hAnsi="Book Antiqua"/>
                <w:lang w:val="el-GR"/>
              </w:rPr>
            </w:pPr>
            <w:r w:rsidRPr="0090187C">
              <w:rPr>
                <w:rFonts w:ascii="Book Antiqua" w:hAnsi="Book Antiqua"/>
                <w:lang w:val="el-GR"/>
              </w:rPr>
              <w:t>- Βιώσιμη Ανάπτυξη - Περιβάλλον, Φυσικοί πόροι και ανάπτυξη</w:t>
            </w:r>
          </w:p>
          <w:p w:rsidR="003A5A23" w:rsidRPr="0090187C" w:rsidRDefault="003A5A23" w:rsidP="003A5A23">
            <w:pPr>
              <w:rPr>
                <w:rFonts w:ascii="Book Antiqua" w:hAnsi="Book Antiqua"/>
                <w:lang w:val="el-GR"/>
              </w:rPr>
            </w:pPr>
            <w:r w:rsidRPr="0090187C">
              <w:rPr>
                <w:rFonts w:ascii="Book Antiqua" w:hAnsi="Book Antiqua"/>
                <w:lang w:val="el-GR"/>
              </w:rPr>
              <w:t>- Χαρακτηριστικά της υπανάπτυξης</w:t>
            </w:r>
          </w:p>
          <w:p w:rsidR="003A5A23" w:rsidRPr="0090187C" w:rsidRDefault="003A5A23" w:rsidP="003A5A23">
            <w:pPr>
              <w:rPr>
                <w:rFonts w:ascii="Book Antiqua" w:hAnsi="Book Antiqua"/>
                <w:lang w:val="el-GR"/>
              </w:rPr>
            </w:pPr>
            <w:r w:rsidRPr="0090187C">
              <w:rPr>
                <w:rFonts w:ascii="Book Antiqua" w:hAnsi="Book Antiqua"/>
                <w:lang w:val="el-GR"/>
              </w:rPr>
              <w:t>- Η συμβολή των κλασικών οικονομολόγων στη θεωρία της ανάπτυξης</w:t>
            </w:r>
          </w:p>
          <w:p w:rsidR="003A5A23" w:rsidRPr="0090187C" w:rsidRDefault="003A5A23" w:rsidP="003A5A23">
            <w:pPr>
              <w:rPr>
                <w:rFonts w:ascii="Book Antiqua" w:hAnsi="Book Antiqua"/>
                <w:lang w:val="el-GR"/>
              </w:rPr>
            </w:pPr>
            <w:r w:rsidRPr="0090187C">
              <w:rPr>
                <w:rFonts w:ascii="Book Antiqua" w:hAnsi="Book Antiqua"/>
                <w:lang w:val="el-GR"/>
              </w:rPr>
              <w:t xml:space="preserve">- Σύγχρονες θεωρίες ανάπτυξης </w:t>
            </w:r>
          </w:p>
          <w:p w:rsidR="003A5A23" w:rsidRPr="0090187C" w:rsidRDefault="003A5A23" w:rsidP="003A5A23">
            <w:pPr>
              <w:rPr>
                <w:rFonts w:ascii="Book Antiqua" w:hAnsi="Book Antiqua"/>
                <w:lang w:val="el-GR"/>
              </w:rPr>
            </w:pPr>
            <w:r w:rsidRPr="0090187C">
              <w:rPr>
                <w:rFonts w:ascii="Book Antiqua" w:hAnsi="Book Antiqua"/>
                <w:lang w:val="el-GR"/>
              </w:rPr>
              <w:t>- Η εισοδηματική ανισότητα και ανάπτυξη</w:t>
            </w:r>
          </w:p>
          <w:p w:rsidR="00F03B25" w:rsidRPr="002143E1" w:rsidRDefault="003A5A23" w:rsidP="007673F3">
            <w:pPr>
              <w:rPr>
                <w:rFonts w:ascii="Book Antiqua" w:hAnsi="Book Antiqua"/>
                <w:lang w:val="el-GR"/>
              </w:rPr>
            </w:pPr>
            <w:r w:rsidRPr="0090187C">
              <w:rPr>
                <w:rFonts w:ascii="Book Antiqua" w:hAnsi="Book Antiqua"/>
              </w:rPr>
              <w:t>- Παγκοσμιοποίηση και ανάπτυξη</w:t>
            </w:r>
          </w:p>
          <w:p w:rsidR="000F4FD4" w:rsidRPr="00705AAD" w:rsidRDefault="000F4FD4" w:rsidP="007673F3">
            <w:pPr>
              <w:rPr>
                <w:rFonts w:ascii="Calibri" w:hAnsi="Calibri" w:cs="Arial"/>
                <w:color w:val="002060"/>
                <w:sz w:val="20"/>
                <w:szCs w:val="20"/>
                <w:lang w:val="el-GR"/>
              </w:rPr>
            </w:pP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A5A23"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6D2531" w:rsidRDefault="002143E1" w:rsidP="007673F3">
            <w:pPr>
              <w:spacing w:after="200" w:line="276" w:lineRule="auto"/>
              <w:rPr>
                <w:rFonts w:ascii="Calibri" w:eastAsia="Calibri" w:hAnsi="Calibri"/>
                <w:iCs/>
                <w:color w:val="002060"/>
                <w:lang w:val="el-GR"/>
              </w:rPr>
            </w:pPr>
            <w:r w:rsidRPr="006D2531">
              <w:rPr>
                <w:rFonts w:ascii="Calibri" w:hAnsi="Calibri" w:cs="Arial"/>
                <w:i/>
                <w:lang w:val="el-GR"/>
              </w:rPr>
              <w:t>Πρόσωπο με πρόσωπο</w:t>
            </w:r>
          </w:p>
        </w:tc>
      </w:tr>
      <w:tr w:rsidR="000F4FD4" w:rsidRPr="00E11147"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6D2531" w:rsidRDefault="002143E1" w:rsidP="002143E1">
            <w:pPr>
              <w:rPr>
                <w:rFonts w:ascii="Calibri" w:hAnsi="Calibri" w:cs="Arial"/>
                <w:b/>
                <w:color w:val="002060"/>
                <w:lang w:val="el-GR"/>
              </w:rPr>
            </w:pPr>
            <w:r w:rsidRPr="006D2531">
              <w:rPr>
                <w:rFonts w:ascii="Calibri" w:hAnsi="Calibri" w:cs="Arial"/>
                <w:i/>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8F5123" w:rsidTr="007673F3">
              <w:tc>
                <w:tcPr>
                  <w:tcW w:w="2467" w:type="dxa"/>
                  <w:shd w:val="clear" w:color="auto" w:fill="DDD9C3" w:themeFill="background2" w:themeFillShade="E6"/>
                  <w:vAlign w:val="center"/>
                </w:tcPr>
                <w:p w:rsidR="000F4FD4" w:rsidRPr="008F5123" w:rsidRDefault="000F4FD4" w:rsidP="007673F3">
                  <w:pPr>
                    <w:jc w:val="center"/>
                    <w:rPr>
                      <w:rFonts w:ascii="Calibri" w:hAnsi="Calibri" w:cs="Arial"/>
                      <w:b/>
                      <w:i/>
                    </w:rPr>
                  </w:pPr>
                  <w:r w:rsidRPr="008F5123">
                    <w:rPr>
                      <w:rFonts w:ascii="Calibri" w:hAnsi="Calibri" w:cs="Arial"/>
                      <w:b/>
                      <w:i/>
                    </w:rPr>
                    <w:t>Δραστηριότητα</w:t>
                  </w:r>
                </w:p>
              </w:tc>
              <w:tc>
                <w:tcPr>
                  <w:tcW w:w="2468" w:type="dxa"/>
                  <w:shd w:val="clear" w:color="auto" w:fill="DDD9C3" w:themeFill="background2" w:themeFillShade="E6"/>
                  <w:vAlign w:val="center"/>
                </w:tcPr>
                <w:p w:rsidR="000F4FD4" w:rsidRPr="008F5123" w:rsidRDefault="000F4FD4" w:rsidP="007673F3">
                  <w:pPr>
                    <w:jc w:val="center"/>
                    <w:rPr>
                      <w:rFonts w:ascii="Calibri" w:hAnsi="Calibri" w:cs="Arial"/>
                      <w:b/>
                      <w:i/>
                    </w:rPr>
                  </w:pPr>
                  <w:r w:rsidRPr="008F5123">
                    <w:rPr>
                      <w:rFonts w:ascii="Calibri" w:hAnsi="Calibri" w:cs="Arial"/>
                      <w:b/>
                      <w:i/>
                    </w:rPr>
                    <w:t>Φόρτος Εργασίας Εξαμήνου</w:t>
                  </w:r>
                </w:p>
              </w:tc>
            </w:tr>
            <w:tr w:rsidR="00F44C56" w:rsidRPr="008F5123" w:rsidTr="007673F3">
              <w:tc>
                <w:tcPr>
                  <w:tcW w:w="2467" w:type="dxa"/>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t>Διαλέξεις</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39 ώρες (1.56 ECTS)</w:t>
                  </w:r>
                </w:p>
              </w:tc>
            </w:tr>
            <w:tr w:rsidR="00F44C56" w:rsidRPr="008F5123" w:rsidTr="007673F3">
              <w:tc>
                <w:tcPr>
                  <w:tcW w:w="2467" w:type="dxa"/>
                  <w:shd w:val="clear" w:color="auto" w:fill="auto"/>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t>Προσωπική μελέτη</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83 ώρες (3.32 ECTS)</w:t>
                  </w:r>
                </w:p>
              </w:tc>
            </w:tr>
            <w:tr w:rsidR="00F44C56" w:rsidRPr="008F5123" w:rsidTr="007673F3">
              <w:tc>
                <w:tcPr>
                  <w:tcW w:w="2467" w:type="dxa"/>
                  <w:shd w:val="clear" w:color="auto" w:fill="auto"/>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t>Τελική εξέταση</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3 ώρες (0.12 ECTS)</w:t>
                  </w: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lang w:val="el-GR"/>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lang w:val="el-GR"/>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tcPr>
                <w:p w:rsidR="000F4FD4" w:rsidRPr="008F5123" w:rsidRDefault="000F4FD4" w:rsidP="007673F3">
                  <w:pPr>
                    <w:rPr>
                      <w:rFonts w:ascii="Calibri" w:hAnsi="Calibri"/>
                      <w:iCs/>
                      <w:color w:val="002060"/>
                      <w:lang w:val="el-GR"/>
                    </w:rPr>
                  </w:pPr>
                  <w:r w:rsidRPr="008F5123">
                    <w:rPr>
                      <w:rFonts w:ascii="Calibri" w:hAnsi="Calibri"/>
                      <w:iCs/>
                      <w:color w:val="002060"/>
                      <w:lang w:val="el-GR"/>
                    </w:rPr>
                    <w:t>Σύνολο</w:t>
                  </w:r>
                  <w:r w:rsidRPr="008F5123">
                    <w:rPr>
                      <w:rFonts w:ascii="Calibri" w:hAnsi="Calibri"/>
                      <w:iCs/>
                      <w:color w:val="002060"/>
                    </w:rPr>
                    <w:t xml:space="preserve"> </w:t>
                  </w:r>
                  <w:r w:rsidRPr="008F5123">
                    <w:rPr>
                      <w:rFonts w:ascii="Calibri" w:hAnsi="Calibri"/>
                      <w:iCs/>
                      <w:color w:val="002060"/>
                      <w:lang w:val="el-GR"/>
                    </w:rPr>
                    <w:t>Μαθήματος</w:t>
                  </w:r>
                  <w:r w:rsidRPr="008F5123">
                    <w:rPr>
                      <w:rFonts w:ascii="Calibri" w:hAnsi="Calibri"/>
                      <w:iCs/>
                      <w:color w:val="002060"/>
                    </w:rPr>
                    <w:t xml:space="preserve"> </w:t>
                  </w:r>
                </w:p>
              </w:tc>
              <w:tc>
                <w:tcPr>
                  <w:tcW w:w="2468" w:type="dxa"/>
                  <w:vAlign w:val="center"/>
                </w:tcPr>
                <w:p w:rsidR="000F4FD4" w:rsidRPr="008F5123" w:rsidRDefault="00F44C56" w:rsidP="007673F3">
                  <w:pPr>
                    <w:jc w:val="center"/>
                    <w:rPr>
                      <w:rFonts w:ascii="Calibri" w:hAnsi="Calibri" w:cs="Arial"/>
                      <w:b/>
                      <w:i/>
                      <w:color w:val="002060"/>
                      <w:lang w:val="el-GR"/>
                    </w:rPr>
                  </w:pPr>
                  <w:r w:rsidRPr="008F5123">
                    <w:rPr>
                      <w:rFonts w:ascii="Calibri" w:hAnsi="Calibri" w:cs="Calibri"/>
                      <w:b/>
                      <w:bCs/>
                      <w:i/>
                      <w:iCs/>
                      <w:color w:val="000000"/>
                      <w:lang w:val="el-GR" w:eastAsia="el-GR"/>
                    </w:rPr>
                    <w:t>125 ώρες (5 ECTS)</w:t>
                  </w:r>
                </w:p>
              </w:tc>
            </w:tr>
          </w:tbl>
          <w:p w:rsidR="000F4FD4" w:rsidRPr="008F5123" w:rsidRDefault="000F4FD4" w:rsidP="007673F3">
            <w:pPr>
              <w:rPr>
                <w:rFonts w:ascii="Tahoma" w:hAnsi="Tahoma" w:cs="Tahoma"/>
              </w:rPr>
            </w:pPr>
          </w:p>
        </w:tc>
      </w:tr>
      <w:tr w:rsidR="000F4FD4" w:rsidRPr="00E11147"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65DF" w:rsidRPr="008F5123" w:rsidRDefault="000565DF" w:rsidP="00441418">
            <w:pPr>
              <w:rPr>
                <w:rFonts w:ascii="Calibri" w:hAnsi="Calibri" w:cs="Arial"/>
                <w:color w:val="002060"/>
                <w:lang w:val="el-GR"/>
              </w:rPr>
            </w:pPr>
          </w:p>
          <w:p w:rsidR="00441418" w:rsidRPr="008F5123" w:rsidRDefault="00441418" w:rsidP="00441418">
            <w:pPr>
              <w:rPr>
                <w:rFonts w:ascii="Calibri" w:hAnsi="Calibri" w:cs="Arial"/>
                <w:color w:val="002060"/>
                <w:lang w:val="el-GR"/>
              </w:rPr>
            </w:pPr>
            <w:r w:rsidRPr="008F5123">
              <w:rPr>
                <w:rFonts w:ascii="Calibri" w:hAnsi="Calibri" w:cs="Arial"/>
                <w:i/>
                <w:lang w:val="el-GR"/>
              </w:rPr>
              <w:t>Γλώσσα Αξιολόγησης</w:t>
            </w:r>
            <w:r w:rsidR="00C62FE8" w:rsidRPr="008F5123">
              <w:rPr>
                <w:rFonts w:ascii="Calibri" w:hAnsi="Calibri" w:cs="Arial"/>
                <w:i/>
                <w:lang w:val="el-GR"/>
              </w:rPr>
              <w:t xml:space="preserve">: Ελληνικά </w:t>
            </w:r>
          </w:p>
          <w:p w:rsidR="00441418" w:rsidRPr="008F5123" w:rsidRDefault="00441418" w:rsidP="00441418">
            <w:pPr>
              <w:rPr>
                <w:rFonts w:ascii="Calibri" w:hAnsi="Calibri" w:cs="Arial"/>
                <w:color w:val="002060"/>
                <w:lang w:val="el-GR"/>
              </w:rPr>
            </w:pPr>
          </w:p>
          <w:p w:rsidR="00441418" w:rsidRPr="008F5123" w:rsidRDefault="00441418" w:rsidP="00441418">
            <w:pPr>
              <w:rPr>
                <w:rFonts w:ascii="Calibri" w:hAnsi="Calibri" w:cs="Arial"/>
                <w:i/>
                <w:lang w:val="el-GR"/>
              </w:rPr>
            </w:pPr>
            <w:r w:rsidRPr="008F5123">
              <w:rPr>
                <w:rFonts w:ascii="Calibri" w:hAnsi="Calibri" w:cs="Arial"/>
                <w:i/>
                <w:lang w:val="el-GR"/>
              </w:rPr>
              <w:t>Μέθοδοι αξιολόγησης: Γραπτή Εξέταση με  Ερωτήσεις Ανάπτυξης Δοκιμίων (βαρύτητα 80% του βαθμού)  Συμμετοχή στις Διαλέξεις (βαρύτητα 20%)</w:t>
            </w:r>
          </w:p>
          <w:p w:rsidR="00441418" w:rsidRPr="008F5123" w:rsidRDefault="00441418" w:rsidP="00441418">
            <w:pPr>
              <w:rPr>
                <w:rFonts w:ascii="Calibri" w:hAnsi="Calibri" w:cs="Arial"/>
                <w:i/>
                <w:lang w:val="el-GR"/>
              </w:rPr>
            </w:pPr>
          </w:p>
          <w:p w:rsidR="00441418" w:rsidRPr="008F5123" w:rsidRDefault="00441418" w:rsidP="00441418">
            <w:pPr>
              <w:rPr>
                <w:rFonts w:ascii="Calibri" w:hAnsi="Calibri" w:cs="Arial"/>
                <w:color w:val="002060"/>
                <w:lang w:val="el-GR"/>
              </w:rPr>
            </w:pPr>
            <w:r w:rsidRPr="008F5123">
              <w:rPr>
                <w:rFonts w:ascii="Calibri" w:hAnsi="Calibri" w:cs="Arial"/>
                <w:i/>
                <w:lang w:val="el-GR"/>
              </w:rPr>
              <w:t xml:space="preserve">Τα κριτήρια είναι προσβάσιμα στην περιγραφή του μαθήματος στο eclass. </w:t>
            </w:r>
          </w:p>
          <w:p w:rsidR="000F4FD4" w:rsidRPr="008F5123"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11589" w:rsidTr="007673F3">
        <w:tc>
          <w:tcPr>
            <w:tcW w:w="8472" w:type="dxa"/>
          </w:tcPr>
          <w:p w:rsidR="001A1C52" w:rsidRPr="008F5123" w:rsidRDefault="00A8723B" w:rsidP="00A8723B">
            <w:pPr>
              <w:pStyle w:val="ab"/>
              <w:ind w:left="0"/>
              <w:jc w:val="both"/>
              <w:rPr>
                <w:rFonts w:asciiTheme="minorHAnsi" w:hAnsiTheme="minorHAnsi" w:cstheme="minorHAnsi"/>
                <w:i/>
                <w:sz w:val="24"/>
                <w:szCs w:val="24"/>
              </w:rPr>
            </w:pPr>
            <w:r w:rsidRPr="008F5123">
              <w:rPr>
                <w:rFonts w:asciiTheme="minorHAnsi" w:hAnsiTheme="minorHAnsi" w:cstheme="minorHAnsi"/>
                <w:i/>
                <w:sz w:val="24"/>
                <w:szCs w:val="24"/>
              </w:rPr>
              <w:t xml:space="preserve">- </w:t>
            </w:r>
            <w:r w:rsidR="000F4FD4" w:rsidRPr="008F5123">
              <w:rPr>
                <w:rFonts w:asciiTheme="minorHAnsi" w:hAnsiTheme="minorHAnsi" w:cstheme="minorHAnsi"/>
                <w:i/>
                <w:sz w:val="24"/>
                <w:szCs w:val="24"/>
              </w:rPr>
              <w:t>Προτεινόμενη Βιβλι</w:t>
            </w:r>
            <w:r w:rsidR="001A1C52" w:rsidRPr="008F5123">
              <w:rPr>
                <w:rFonts w:asciiTheme="minorHAnsi" w:hAnsiTheme="minorHAnsi" w:cstheme="minorHAnsi"/>
                <w:i/>
                <w:sz w:val="24"/>
                <w:szCs w:val="24"/>
              </w:rPr>
              <w:t>ογραφία</w:t>
            </w:r>
            <w:r w:rsidR="000F4FD4" w:rsidRPr="008F5123">
              <w:rPr>
                <w:rFonts w:asciiTheme="minorHAnsi" w:hAnsiTheme="minorHAnsi" w:cstheme="minorHAnsi"/>
                <w:i/>
                <w:sz w:val="24"/>
                <w:szCs w:val="24"/>
              </w:rPr>
              <w:t>:</w:t>
            </w:r>
          </w:p>
          <w:p w:rsidR="00511589" w:rsidRPr="008F5123" w:rsidRDefault="00511589" w:rsidP="00511589">
            <w:pPr>
              <w:jc w:val="both"/>
              <w:rPr>
                <w:rFonts w:asciiTheme="minorHAnsi" w:hAnsiTheme="minorHAnsi" w:cstheme="minorHAnsi"/>
                <w:lang w:val="el-GR"/>
              </w:rPr>
            </w:pPr>
            <w:r w:rsidRPr="008F5123">
              <w:rPr>
                <w:rFonts w:asciiTheme="minorHAnsi" w:hAnsiTheme="minorHAnsi" w:cstheme="minorHAnsi"/>
              </w:rPr>
              <w:t>Gillis</w:t>
            </w:r>
            <w:r w:rsidRPr="008F5123">
              <w:rPr>
                <w:rFonts w:asciiTheme="minorHAnsi" w:hAnsiTheme="minorHAnsi" w:cstheme="minorHAnsi"/>
                <w:lang w:val="el-GR"/>
              </w:rPr>
              <w:t xml:space="preserve"> </w:t>
            </w:r>
            <w:r w:rsidRPr="008F5123">
              <w:rPr>
                <w:rFonts w:asciiTheme="minorHAnsi" w:hAnsiTheme="minorHAnsi" w:cstheme="minorHAnsi"/>
              </w:rPr>
              <w:t>M</w:t>
            </w:r>
            <w:r w:rsidRPr="008F5123">
              <w:rPr>
                <w:rFonts w:asciiTheme="minorHAnsi" w:hAnsiTheme="minorHAnsi" w:cstheme="minorHAnsi"/>
                <w:lang w:val="el-GR"/>
              </w:rPr>
              <w:t xml:space="preserve">., </w:t>
            </w:r>
            <w:r w:rsidRPr="008F5123">
              <w:rPr>
                <w:rFonts w:asciiTheme="minorHAnsi" w:hAnsiTheme="minorHAnsi" w:cstheme="minorHAnsi"/>
              </w:rPr>
              <w:t>Perkins</w:t>
            </w:r>
            <w:r w:rsidRPr="008F5123">
              <w:rPr>
                <w:rFonts w:asciiTheme="minorHAnsi" w:hAnsiTheme="minorHAnsi" w:cstheme="minorHAnsi"/>
                <w:lang w:val="el-GR"/>
              </w:rPr>
              <w:t xml:space="preserve"> </w:t>
            </w:r>
            <w:r w:rsidRPr="008F5123">
              <w:rPr>
                <w:rFonts w:asciiTheme="minorHAnsi" w:hAnsiTheme="minorHAnsi" w:cstheme="minorHAnsi"/>
              </w:rPr>
              <w:t>D</w:t>
            </w:r>
            <w:r w:rsidRPr="008F5123">
              <w:rPr>
                <w:rFonts w:asciiTheme="minorHAnsi" w:hAnsiTheme="minorHAnsi" w:cstheme="minorHAnsi"/>
                <w:lang w:val="el-GR"/>
              </w:rPr>
              <w:t xml:space="preserve">., </w:t>
            </w:r>
            <w:r w:rsidRPr="008F5123">
              <w:rPr>
                <w:rFonts w:asciiTheme="minorHAnsi" w:hAnsiTheme="minorHAnsi" w:cstheme="minorHAnsi"/>
              </w:rPr>
              <w:t>Roemer</w:t>
            </w:r>
            <w:r w:rsidRPr="008F5123">
              <w:rPr>
                <w:rFonts w:asciiTheme="minorHAnsi" w:hAnsiTheme="minorHAnsi" w:cstheme="minorHAnsi"/>
                <w:lang w:val="el-GR"/>
              </w:rPr>
              <w:t xml:space="preserve"> </w:t>
            </w:r>
            <w:r w:rsidRPr="008F5123">
              <w:rPr>
                <w:rFonts w:asciiTheme="minorHAnsi" w:hAnsiTheme="minorHAnsi" w:cstheme="minorHAnsi"/>
              </w:rPr>
              <w:t>M</w:t>
            </w:r>
            <w:r w:rsidRPr="008F5123">
              <w:rPr>
                <w:rFonts w:asciiTheme="minorHAnsi" w:hAnsiTheme="minorHAnsi" w:cstheme="minorHAnsi"/>
                <w:lang w:val="el-GR"/>
              </w:rPr>
              <w:t xml:space="preserve">., </w:t>
            </w:r>
            <w:r w:rsidRPr="008F5123">
              <w:rPr>
                <w:rFonts w:asciiTheme="minorHAnsi" w:hAnsiTheme="minorHAnsi" w:cstheme="minorHAnsi"/>
              </w:rPr>
              <w:t>Snodgrass</w:t>
            </w:r>
            <w:r w:rsidRPr="008F5123">
              <w:rPr>
                <w:rFonts w:asciiTheme="minorHAnsi" w:hAnsiTheme="minorHAnsi" w:cstheme="minorHAnsi"/>
                <w:lang w:val="el-GR"/>
              </w:rPr>
              <w:t xml:space="preserve"> </w:t>
            </w:r>
            <w:r w:rsidRPr="008F5123">
              <w:rPr>
                <w:rFonts w:asciiTheme="minorHAnsi" w:hAnsiTheme="minorHAnsi" w:cstheme="minorHAnsi"/>
              </w:rPr>
              <w:t>D</w:t>
            </w:r>
            <w:r w:rsidRPr="008F5123">
              <w:rPr>
                <w:rFonts w:asciiTheme="minorHAnsi" w:hAnsiTheme="minorHAnsi" w:cstheme="minorHAnsi"/>
                <w:lang w:val="el-GR"/>
              </w:rPr>
              <w:t>., Οικονομική της Ανάπτυξης, Τυπωθήτω, Αθήνα, 2000</w:t>
            </w:r>
          </w:p>
          <w:p w:rsidR="00511589" w:rsidRPr="008F5123" w:rsidRDefault="00511589" w:rsidP="00511589">
            <w:pPr>
              <w:rPr>
                <w:rFonts w:asciiTheme="minorHAnsi" w:hAnsiTheme="minorHAnsi" w:cstheme="minorHAnsi"/>
                <w:lang w:val="el-GR"/>
              </w:rPr>
            </w:pPr>
            <w:r w:rsidRPr="008F5123">
              <w:rPr>
                <w:rFonts w:asciiTheme="minorHAnsi" w:hAnsiTheme="minorHAnsi" w:cstheme="minorHAnsi"/>
                <w:lang w:val="el-GR"/>
              </w:rPr>
              <w:t>Βαβούρας Ι., Πολιτική Οικονομικής Ανάπτυξης, Παπαζήση, Αθήνα, 2008</w:t>
            </w:r>
          </w:p>
          <w:p w:rsidR="00511589" w:rsidRPr="008F5123" w:rsidRDefault="00511589" w:rsidP="00511589">
            <w:pPr>
              <w:rPr>
                <w:rFonts w:asciiTheme="minorHAnsi" w:hAnsiTheme="minorHAnsi" w:cstheme="minorHAnsi"/>
                <w:lang w:val="el-GR"/>
              </w:rPr>
            </w:pPr>
            <w:r w:rsidRPr="008F5123">
              <w:rPr>
                <w:rFonts w:asciiTheme="minorHAnsi" w:hAnsiTheme="minorHAnsi" w:cstheme="minorHAnsi"/>
              </w:rPr>
              <w:t>Thirlwall</w:t>
            </w:r>
            <w:r w:rsidRPr="008F5123">
              <w:rPr>
                <w:rFonts w:asciiTheme="minorHAnsi" w:hAnsiTheme="minorHAnsi" w:cstheme="minorHAnsi"/>
                <w:lang w:val="el-GR"/>
              </w:rPr>
              <w:t xml:space="preserve"> </w:t>
            </w:r>
            <w:r w:rsidRPr="008F5123">
              <w:rPr>
                <w:rFonts w:asciiTheme="minorHAnsi" w:hAnsiTheme="minorHAnsi" w:cstheme="minorHAnsi"/>
              </w:rPr>
              <w:t>A</w:t>
            </w:r>
            <w:r w:rsidRPr="008F5123">
              <w:rPr>
                <w:rFonts w:asciiTheme="minorHAnsi" w:hAnsiTheme="minorHAnsi" w:cstheme="minorHAnsi"/>
                <w:lang w:val="el-GR"/>
              </w:rPr>
              <w:t xml:space="preserve">. </w:t>
            </w:r>
            <w:r w:rsidRPr="008F5123">
              <w:rPr>
                <w:rFonts w:asciiTheme="minorHAnsi" w:hAnsiTheme="minorHAnsi" w:cstheme="minorHAnsi"/>
              </w:rPr>
              <w:t>P</w:t>
            </w:r>
            <w:r w:rsidRPr="008F5123">
              <w:rPr>
                <w:rFonts w:asciiTheme="minorHAnsi" w:hAnsiTheme="minorHAnsi" w:cstheme="minorHAnsi"/>
                <w:lang w:val="el-GR"/>
              </w:rPr>
              <w:t>., Μεγέθυνση και Ανάπτυξη, Παπαζήση, Αθήνα, 2011</w:t>
            </w:r>
          </w:p>
          <w:p w:rsidR="00511589" w:rsidRPr="008F5123" w:rsidRDefault="00511589" w:rsidP="00511589">
            <w:pPr>
              <w:rPr>
                <w:rFonts w:asciiTheme="minorHAnsi" w:hAnsiTheme="minorHAnsi" w:cstheme="minorHAnsi"/>
                <w:lang w:val="el-GR" w:eastAsia="el-GR"/>
              </w:rPr>
            </w:pPr>
            <w:r w:rsidRPr="008F5123">
              <w:rPr>
                <w:rFonts w:asciiTheme="minorHAnsi" w:hAnsiTheme="minorHAnsi" w:cstheme="minorHAnsi"/>
                <w:lang w:val="el-GR" w:eastAsia="el-GR"/>
              </w:rPr>
              <w:t>Martinussen John, Κοινωνία, Κράτος, Αγορά, Σαββάλας, Αθήνα, 2007</w:t>
            </w:r>
          </w:p>
          <w:p w:rsidR="00511589" w:rsidRPr="008F5123" w:rsidRDefault="00511589" w:rsidP="00511589">
            <w:pPr>
              <w:rPr>
                <w:rFonts w:asciiTheme="minorHAnsi" w:hAnsiTheme="minorHAnsi" w:cstheme="minorHAnsi"/>
                <w:lang w:val="el-GR" w:eastAsia="el-GR"/>
              </w:rPr>
            </w:pPr>
            <w:r w:rsidRPr="008F5123">
              <w:rPr>
                <w:rFonts w:asciiTheme="minorHAnsi" w:hAnsiTheme="minorHAnsi" w:cstheme="minorHAnsi"/>
                <w:lang w:val="el-GR" w:eastAsia="el-GR"/>
              </w:rPr>
              <w:t>Τσάλτας Γρηγόρης Ι., Αναπτυξιακό φαινόμενο και Τρίτος Κόσμος, Παπαζήσης, Αθήνα,  2010</w:t>
            </w:r>
          </w:p>
          <w:p w:rsidR="00511589" w:rsidRPr="008F5123" w:rsidRDefault="00511589" w:rsidP="00511589">
            <w:pPr>
              <w:rPr>
                <w:rFonts w:asciiTheme="minorHAnsi" w:hAnsiTheme="minorHAnsi" w:cstheme="minorHAnsi"/>
                <w:lang w:val="el-GR" w:eastAsia="el-GR"/>
              </w:rPr>
            </w:pPr>
            <w:r w:rsidRPr="008F5123">
              <w:rPr>
                <w:rFonts w:asciiTheme="minorHAnsi" w:hAnsiTheme="minorHAnsi" w:cstheme="minorHAnsi"/>
                <w:lang w:val="el-GR" w:eastAsia="el-GR"/>
              </w:rPr>
              <w:t>Τρύφων Κολλίντζας, Κωνσταντίνος Τσουκαλάς (συνεργασία), Θεωρία οικονομικής ανάπτυξης, Κριτική, Αθήνα, 2011</w:t>
            </w:r>
          </w:p>
          <w:p w:rsidR="00511589" w:rsidRPr="008F5123" w:rsidRDefault="00511589" w:rsidP="00B357B4">
            <w:pPr>
              <w:rPr>
                <w:rFonts w:asciiTheme="minorHAnsi" w:hAnsiTheme="minorHAnsi" w:cstheme="minorHAnsi"/>
                <w:lang w:val="el-GR" w:eastAsia="el-GR"/>
              </w:rPr>
            </w:pPr>
            <w:r w:rsidRPr="008F5123">
              <w:rPr>
                <w:rFonts w:asciiTheme="minorHAnsi" w:hAnsiTheme="minorHAnsi" w:cstheme="minorHAnsi"/>
                <w:lang w:val="el-GR" w:eastAsia="el-GR"/>
              </w:rPr>
              <w:t>Todaro M. R., Οικονομική του Αναπτυσσόμενου Κόσμου, Gutenberg. Αθήνα, 1999</w:t>
            </w:r>
          </w:p>
          <w:p w:rsidR="00C62FE8" w:rsidRPr="008F5123" w:rsidRDefault="00C62FE8" w:rsidP="00B357B4">
            <w:pPr>
              <w:rPr>
                <w:rFonts w:asciiTheme="minorHAnsi" w:hAnsiTheme="minorHAnsi" w:cstheme="minorHAnsi"/>
                <w:lang w:val="el-GR" w:eastAsia="el-GR"/>
              </w:rPr>
            </w:pPr>
          </w:p>
          <w:p w:rsidR="000F4FD4" w:rsidRPr="008F5123" w:rsidRDefault="00A8723B" w:rsidP="007673F3">
            <w:pPr>
              <w:jc w:val="both"/>
              <w:rPr>
                <w:rFonts w:asciiTheme="minorHAnsi" w:hAnsiTheme="minorHAnsi" w:cstheme="minorHAnsi"/>
                <w:i/>
                <w:lang w:val="el-GR"/>
              </w:rPr>
            </w:pPr>
            <w:r w:rsidRPr="008F5123">
              <w:rPr>
                <w:rFonts w:asciiTheme="minorHAnsi" w:hAnsiTheme="minorHAnsi" w:cstheme="minorHAnsi"/>
                <w:i/>
                <w:lang w:val="el-GR"/>
              </w:rPr>
              <w:t xml:space="preserve">- </w:t>
            </w:r>
            <w:r w:rsidR="000F4FD4" w:rsidRPr="008F5123">
              <w:rPr>
                <w:rFonts w:asciiTheme="minorHAnsi" w:hAnsiTheme="minorHAnsi" w:cstheme="minorHAnsi"/>
                <w:i/>
                <w:lang w:val="el-GR"/>
              </w:rPr>
              <w:t>Συναφή επιστημονικά περιοδικά:</w:t>
            </w:r>
          </w:p>
          <w:p w:rsidR="000F4FD4" w:rsidRPr="000565DF" w:rsidRDefault="00284DB5" w:rsidP="007673F3">
            <w:pPr>
              <w:jc w:val="both"/>
              <w:rPr>
                <w:i/>
              </w:rPr>
            </w:pPr>
            <w:r w:rsidRPr="008F5123">
              <w:rPr>
                <w:rFonts w:asciiTheme="minorHAnsi" w:hAnsiTheme="minorHAnsi" w:cstheme="minorHAnsi"/>
                <w:i/>
              </w:rPr>
              <w:lastRenderedPageBreak/>
              <w:t>World Development</w:t>
            </w:r>
            <w:r w:rsidR="008F5123">
              <w:rPr>
                <w:rFonts w:asciiTheme="minorHAnsi" w:hAnsiTheme="minorHAnsi" w:cstheme="minorHAnsi"/>
                <w:i/>
              </w:rPr>
              <w:t xml:space="preserve">, </w:t>
            </w:r>
            <w:r w:rsidR="008F5123">
              <w:rPr>
                <w:rFonts w:asciiTheme="minorHAnsi" w:eastAsia="Calibri" w:hAnsiTheme="minorHAnsi" w:cstheme="minorHAnsi"/>
                <w:color w:val="002060"/>
              </w:rPr>
              <w:t>Journal of International Development, Development Policy Review</w:t>
            </w:r>
            <w:bookmarkStart w:id="1" w:name="_GoBack"/>
            <w:bookmarkEnd w:id="1"/>
          </w:p>
        </w:tc>
      </w:tr>
      <w:bookmarkEnd w:id="0"/>
    </w:tbl>
    <w:p w:rsidR="000F4FD4" w:rsidRPr="008F5123" w:rsidRDefault="000F4FD4" w:rsidP="000F4FD4">
      <w:pPr>
        <w:rPr>
          <w:rFonts w:ascii="Cambria" w:hAnsi="Cambria"/>
          <w:b/>
          <w:bCs/>
          <w:sz w:val="28"/>
        </w:rPr>
      </w:pPr>
    </w:p>
    <w:sectPr w:rsidR="000F4FD4" w:rsidRPr="008F512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BF" w:rsidRDefault="00546BBF">
      <w:r>
        <w:separator/>
      </w:r>
    </w:p>
  </w:endnote>
  <w:endnote w:type="continuationSeparator" w:id="0">
    <w:p w:rsidR="00546BBF" w:rsidRDefault="005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BF" w:rsidRDefault="00546BBF">
      <w:r>
        <w:separator/>
      </w:r>
    </w:p>
  </w:footnote>
  <w:footnote w:type="continuationSeparator" w:id="0">
    <w:p w:rsidR="00546BBF" w:rsidRDefault="0054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BF7C1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D6B11"/>
    <w:multiLevelType w:val="hybridMultilevel"/>
    <w:tmpl w:val="5816CC84"/>
    <w:lvl w:ilvl="0" w:tplc="460CAD78">
      <w:start w:val="1"/>
      <w:numFmt w:val="bullet"/>
      <w:lvlText w:val="-"/>
      <w:lvlJc w:val="left"/>
      <w:pPr>
        <w:ind w:left="720" w:hanging="360"/>
      </w:pPr>
      <w:rPr>
        <w:rFonts w:ascii="Times New Roman" w:eastAsia="Times New Roman" w:hAnsi="Times New Roman"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D8F3D46"/>
    <w:multiLevelType w:val="hybridMultilevel"/>
    <w:tmpl w:val="A7AAA4D8"/>
    <w:lvl w:ilvl="0" w:tplc="39BAF640">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2"/>
  </w:num>
  <w:num w:numId="7">
    <w:abstractNumId w:val="19"/>
  </w:num>
  <w:num w:numId="8">
    <w:abstractNumId w:val="9"/>
  </w:num>
  <w:num w:numId="9">
    <w:abstractNumId w:val="35"/>
  </w:num>
  <w:num w:numId="10">
    <w:abstractNumId w:val="43"/>
  </w:num>
  <w:num w:numId="11">
    <w:abstractNumId w:val="20"/>
  </w:num>
  <w:num w:numId="12">
    <w:abstractNumId w:val="24"/>
  </w:num>
  <w:num w:numId="13">
    <w:abstractNumId w:val="9"/>
  </w:num>
  <w:num w:numId="14">
    <w:abstractNumId w:val="15"/>
  </w:num>
  <w:num w:numId="15">
    <w:abstractNumId w:val="38"/>
  </w:num>
  <w:num w:numId="16">
    <w:abstractNumId w:val="35"/>
  </w:num>
  <w:num w:numId="17">
    <w:abstractNumId w:val="13"/>
  </w:num>
  <w:num w:numId="18">
    <w:abstractNumId w:val="25"/>
  </w:num>
  <w:num w:numId="19">
    <w:abstractNumId w:val="0"/>
  </w:num>
  <w:num w:numId="20">
    <w:abstractNumId w:val="17"/>
  </w:num>
  <w:num w:numId="21">
    <w:abstractNumId w:val="7"/>
  </w:num>
  <w:num w:numId="22">
    <w:abstractNumId w:val="31"/>
  </w:num>
  <w:num w:numId="23">
    <w:abstractNumId w:val="12"/>
  </w:num>
  <w:num w:numId="24">
    <w:abstractNumId w:val="21"/>
  </w:num>
  <w:num w:numId="25">
    <w:abstractNumId w:val="2"/>
  </w:num>
  <w:num w:numId="26">
    <w:abstractNumId w:val="44"/>
  </w:num>
  <w:num w:numId="27">
    <w:abstractNumId w:val="34"/>
  </w:num>
  <w:num w:numId="28">
    <w:abstractNumId w:val="8"/>
  </w:num>
  <w:num w:numId="29">
    <w:abstractNumId w:val="26"/>
  </w:num>
  <w:num w:numId="30">
    <w:abstractNumId w:val="40"/>
  </w:num>
  <w:num w:numId="31">
    <w:abstractNumId w:val="10"/>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4"/>
  </w:num>
  <w:num w:numId="46">
    <w:abstractNumId w:val="1"/>
  </w:num>
  <w:num w:numId="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65DF"/>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3E1"/>
    <w:rsid w:val="00214401"/>
    <w:rsid w:val="0022013C"/>
    <w:rsid w:val="00220BCB"/>
    <w:rsid w:val="00222F35"/>
    <w:rsid w:val="00225396"/>
    <w:rsid w:val="00231676"/>
    <w:rsid w:val="00232D05"/>
    <w:rsid w:val="00233376"/>
    <w:rsid w:val="002354D2"/>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DB5"/>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A23"/>
    <w:rsid w:val="003A5C6B"/>
    <w:rsid w:val="003B08CF"/>
    <w:rsid w:val="003B2099"/>
    <w:rsid w:val="003B23D7"/>
    <w:rsid w:val="003B319D"/>
    <w:rsid w:val="003B6912"/>
    <w:rsid w:val="003C0249"/>
    <w:rsid w:val="003C1A8B"/>
    <w:rsid w:val="003C47ED"/>
    <w:rsid w:val="003D049B"/>
    <w:rsid w:val="003D069B"/>
    <w:rsid w:val="003D354E"/>
    <w:rsid w:val="003D49F9"/>
    <w:rsid w:val="003D4F83"/>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418"/>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589"/>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BBF"/>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094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4F7F"/>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63E"/>
    <w:rsid w:val="006C1F50"/>
    <w:rsid w:val="006C2E14"/>
    <w:rsid w:val="006C6543"/>
    <w:rsid w:val="006C6820"/>
    <w:rsid w:val="006C6950"/>
    <w:rsid w:val="006C6B65"/>
    <w:rsid w:val="006C6BE9"/>
    <w:rsid w:val="006C7193"/>
    <w:rsid w:val="006D2229"/>
    <w:rsid w:val="006D2531"/>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23"/>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5E1B"/>
    <w:rsid w:val="009262FA"/>
    <w:rsid w:val="00926AEC"/>
    <w:rsid w:val="00927BCD"/>
    <w:rsid w:val="00927F42"/>
    <w:rsid w:val="00936764"/>
    <w:rsid w:val="00936B3E"/>
    <w:rsid w:val="00937B68"/>
    <w:rsid w:val="00940890"/>
    <w:rsid w:val="00941C82"/>
    <w:rsid w:val="00945FB5"/>
    <w:rsid w:val="00946979"/>
    <w:rsid w:val="00947099"/>
    <w:rsid w:val="00947222"/>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57B4"/>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BF7C1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2FE8"/>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B0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1147"/>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16C"/>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C56"/>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02D39F-B88B-4071-872E-A3BB9F4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2143E1"/>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1124</Words>
  <Characters>6075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Panagiota Manoli</cp:lastModifiedBy>
  <cp:revision>13</cp:revision>
  <cp:lastPrinted>2014-04-24T14:33:00Z</cp:lastPrinted>
  <dcterms:created xsi:type="dcterms:W3CDTF">2017-05-29T12:59:00Z</dcterms:created>
  <dcterms:modified xsi:type="dcterms:W3CDTF">2017-09-13T08:25:00Z</dcterms:modified>
</cp:coreProperties>
</file>