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Calibri" w:hAnsi="Calibri" w:cs="Arial"/>
          <w:lang w:val="el-GR"/>
        </w:rPr>
      </w:pPr>
      <w:r>
        <w:rPr>
          <w:rFonts w:cs="Arial" w:ascii="Calibri" w:hAnsi="Calibri"/>
          <w:b/>
          <w:lang w:val="el-GR"/>
        </w:rPr>
        <w:t>ΠΕΡΙΓΡΑΜΜΑ ΜΑΘΗΜΑΤΟΣ</w:t>
      </w:r>
    </w:p>
    <w:p>
      <w:pPr>
        <w:pStyle w:val="Normal"/>
        <w:widowControl w:val="false"/>
        <w:numPr>
          <w:ilvl w:val="0"/>
          <w:numId w:val="1"/>
        </w:numPr>
        <w:spacing w:lineRule="auto" w:line="276" w:before="120" w:after="200"/>
        <w:ind w:left="357" w:hanging="357"/>
        <w:rPr>
          <w:rFonts w:ascii="Calibri" w:hAnsi="Calibri" w:cs="Arial"/>
          <w:b/>
          <w:b/>
          <w:sz w:val="22"/>
          <w:szCs w:val="22"/>
        </w:rPr>
      </w:pPr>
      <w:r>
        <w:rPr>
          <w:rFonts w:cs="Arial" w:ascii="Calibri" w:hAnsi="Calibri"/>
          <w:b/>
          <w:sz w:val="22"/>
          <w:szCs w:val="22"/>
        </w:rPr>
        <w:t>ΓΕΝΙΚΑ</w:t>
      </w:r>
    </w:p>
    <w:tbl>
      <w:tblPr>
        <w:tblW w:w="860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3204"/>
        <w:gridCol w:w="1136"/>
        <w:gridCol w:w="1296"/>
        <w:gridCol w:w="1345"/>
        <w:gridCol w:w="351"/>
        <w:gridCol w:w="1273"/>
      </w:tblGrid>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ΣΧΟΛΗ</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t xml:space="preserve">Ανθρωπιστικών Επιστημών </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ΤΜΗΜΑ</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t>Μεσογειακών Σπουδών</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 xml:space="preserve">ΕΠΙΠΕΔΟ ΣΠΟΥΔΩΝ </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t>Προπτυχιακό</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rPr>
            </w:pPr>
            <w:r>
              <w:rPr>
                <w:rFonts w:cs="Arial" w:ascii="Calibri" w:hAnsi="Calibri"/>
                <w:b/>
                <w:sz w:val="22"/>
                <w:szCs w:val="22"/>
                <w:lang w:val="el-GR"/>
              </w:rPr>
              <w:t>ΚΩΔΙΚΟΣ ΜΑΘΗΜΑΤΟΣ</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sz w:val="22"/>
                <w:szCs w:val="22"/>
                <w:lang w:val="el-GR"/>
              </w:rPr>
            </w:pPr>
            <w:r>
              <w:rPr>
                <w:rFonts w:ascii="Calibri" w:hAnsi="Calibri"/>
                <w:sz w:val="22"/>
                <w:szCs w:val="22"/>
              </w:rPr>
              <w:t>ΑΥ-23</w:t>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rPr>
            </w:pPr>
            <w:r>
              <w:rPr>
                <w:rFonts w:cs="Arial" w:ascii="Calibri" w:hAnsi="Calibri"/>
                <w:b/>
                <w:sz w:val="22"/>
                <w:szCs w:val="22"/>
                <w:lang w:val="el-GR"/>
              </w:rPr>
              <w:t>ΕΞΑΜΗΝΟ ΣΠΟΥΔΩΝ</w:t>
            </w:r>
          </w:p>
        </w:tc>
        <w:tc>
          <w:tcPr>
            <w:tcW w:w="16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rPr>
            </w:pPr>
            <w:r>
              <w:rPr>
                <w:rFonts w:cs="Arial" w:ascii="Calibri" w:hAnsi="Calibri"/>
                <w:sz w:val="22"/>
                <w:szCs w:val="22"/>
              </w:rPr>
              <w:t>8o</w:t>
            </w:r>
          </w:p>
        </w:tc>
      </w:tr>
      <w:tr>
        <w:trPr>
          <w:trHeight w:val="375"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right"/>
              <w:rPr>
                <w:rFonts w:ascii="Calibri" w:hAnsi="Calibri" w:cs="Arial"/>
                <w:b/>
                <w:b/>
                <w:sz w:val="22"/>
                <w:szCs w:val="22"/>
                <w:lang w:val="el-GR"/>
              </w:rPr>
            </w:pPr>
            <w:r>
              <w:rPr>
                <w:rFonts w:cs="Arial" w:ascii="Calibri" w:hAnsi="Calibri"/>
                <w:b/>
                <w:sz w:val="22"/>
                <w:szCs w:val="22"/>
                <w:lang w:val="el-GR"/>
              </w:rPr>
              <w:t>ΤΙΤΛΟΣ ΜΑΘΗΜΑΤΟΣ</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cs="Arial"/>
                <w:sz w:val="22"/>
                <w:szCs w:val="22"/>
                <w:lang w:val="el-GR"/>
              </w:rPr>
            </w:pPr>
            <w:r>
              <w:rPr>
                <w:rFonts w:ascii="Calibri" w:hAnsi="Calibri"/>
                <w:sz w:val="22"/>
                <w:szCs w:val="22"/>
                <w:lang w:val="el-GR" w:eastAsia="el-GR"/>
              </w:rPr>
              <w:t>ΑΙΓΥΠΤΙΑΚΗ ΑΡΧΑΙΟΛΟΓΙΑ ΙI: ΎΣΤΕΡΗ ΚΑΙ ΕΛΛΗΝΟΡΩΜΑΪΚΗ ΠΕΡΙΟΔΟΣ</w:t>
            </w:r>
          </w:p>
        </w:tc>
      </w:tr>
      <w:tr>
        <w:trPr>
          <w:trHeight w:val="196"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b/>
                <w:b/>
                <w:sz w:val="22"/>
                <w:szCs w:val="22"/>
                <w:lang w:val="el-GR"/>
              </w:rPr>
            </w:pPr>
            <w:r>
              <w:rPr>
                <w:rFonts w:cs="Arial" w:ascii="Calibri" w:hAnsi="Calibri"/>
                <w:b/>
                <w:sz w:val="22"/>
                <w:szCs w:val="22"/>
                <w:lang w:val="el-GR"/>
              </w:rPr>
              <w:t xml:space="preserve">ΑΥΤΟΤΕΛΕΙΣ ΔΙΔΑΚΤΙΚΕΣ ΔΡΑΣΤΗΡΙΟΤΗΤΕΣ </w:t>
              <w:br/>
            </w:r>
            <w:r>
              <w:rPr>
                <w:rFonts w:cs="Arial" w:ascii="Calibri" w:hAnsi="Calibr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b/>
                <w:b/>
                <w:sz w:val="22"/>
                <w:szCs w:val="22"/>
                <w:lang w:val="el-GR"/>
              </w:rPr>
            </w:pPr>
            <w:r>
              <w:rPr>
                <w:rFonts w:cs="Arial" w:ascii="Calibri" w:hAnsi="Calibri"/>
                <w:b/>
                <w:sz w:val="22"/>
                <w:szCs w:val="22"/>
                <w:lang w:val="el-GR"/>
              </w:rPr>
              <w:t>ΕΒΔΟΜΑΔΙΑΙΕΣ</w:t>
              <w:br/>
              <w:t>ΩΡΕΣ Δ</w:t>
            </w:r>
            <w:r>
              <w:rPr>
                <w:rFonts w:cs="Arial" w:ascii="Calibri" w:hAnsi="Calibri"/>
                <w:b/>
                <w:sz w:val="22"/>
                <w:szCs w:val="22"/>
                <w:shd w:fill="DDD9C3" w:val="clear"/>
                <w:lang w:val="el-GR"/>
              </w:rPr>
              <w:t>ΙΔ</w:t>
            </w:r>
            <w:r>
              <w:rPr>
                <w:rFonts w:cs="Arial" w:ascii="Calibri" w:hAnsi="Calibri"/>
                <w:b/>
                <w:sz w:val="22"/>
                <w:szCs w:val="22"/>
                <w:lang w:val="el-GR"/>
              </w:rPr>
              <w:t>ΑΣΚΑΛΙΑΣ</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b/>
                <w:b/>
                <w:sz w:val="22"/>
                <w:szCs w:val="22"/>
                <w:lang w:val="el-GR"/>
              </w:rPr>
            </w:pPr>
            <w:r>
              <w:rPr>
                <w:rFonts w:cs="Arial" w:ascii="Calibri" w:hAnsi="Calibri"/>
                <w:b/>
                <w:sz w:val="22"/>
                <w:szCs w:val="22"/>
                <w:lang w:val="el-GR"/>
              </w:rPr>
              <w:t>ΠΙΣΤΩΤΙΚΕΣ ΜΟΝΑΔΕΣ</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sz w:val="22"/>
                <w:szCs w:val="22"/>
                <w:lang w:val="el-GR"/>
              </w:rPr>
            </w:pPr>
            <w:r>
              <w:rPr>
                <w:rFonts w:cs="Arial" w:ascii="Calibri" w:hAnsi="Calibri"/>
                <w:sz w:val="22"/>
                <w:szCs w:val="22"/>
                <w:lang w:val="el-GR"/>
              </w:rPr>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libri" w:hAnsi="Calibri" w:cs="Arial"/>
                <w:sz w:val="22"/>
                <w:szCs w:val="22"/>
                <w:lang w:val="el-GR"/>
              </w:rPr>
            </w:pPr>
            <w:r>
              <w:rPr>
                <w:rFonts w:cs="Arial" w:ascii="Calibri" w:hAnsi="Calibri"/>
                <w:sz w:val="22"/>
                <w:szCs w:val="22"/>
                <w:lang w:val="el-GR"/>
              </w:rPr>
              <w:t>3</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libri" w:hAnsi="Calibri" w:cs="Arial"/>
                <w:sz w:val="22"/>
                <w:szCs w:val="22"/>
              </w:rPr>
            </w:pPr>
            <w:r>
              <w:rPr>
                <w:rFonts w:cs="Arial" w:ascii="Calibri" w:hAnsi="Calibri"/>
                <w:sz w:val="22"/>
                <w:szCs w:val="22"/>
              </w:rPr>
              <w:t>5</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sz w:val="22"/>
                <w:szCs w:val="22"/>
                <w:lang w:val="el-GR"/>
              </w:rPr>
            </w:pPr>
            <w:r>
              <w:rPr>
                <w:rFonts w:cs="Arial" w:ascii="Calibri" w:hAnsi="Calibri"/>
                <w:sz w:val="22"/>
                <w:szCs w:val="22"/>
                <w:lang w:val="el-GR"/>
              </w:rP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sz w:val="22"/>
                <w:szCs w:val="22"/>
                <w:lang w:val="el-GR"/>
              </w:rPr>
            </w:pPr>
            <w:r>
              <w:rPr>
                <w:rFonts w:cs="Arial" w:ascii="Calibri" w:hAnsi="Calibri"/>
                <w:b/>
                <w:sz w:val="22"/>
                <w:szCs w:val="22"/>
                <w:lang w:val="el-GR"/>
              </w:rPr>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sz w:val="22"/>
                <w:szCs w:val="22"/>
                <w:lang w:val="el-GR"/>
              </w:rPr>
            </w:pPr>
            <w:r>
              <w:rPr>
                <w:rFonts w:cs="Arial" w:ascii="Calibri" w:hAnsi="Calibri"/>
                <w:sz w:val="22"/>
                <w:szCs w:val="22"/>
                <w:lang w:val="el-GR"/>
              </w:rP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rPr>
                <w:rFonts w:ascii="Calibri" w:hAnsi="Calibri" w:cs="Arial"/>
                <w:i/>
                <w:i/>
                <w:sz w:val="22"/>
                <w:szCs w:val="22"/>
                <w:lang w:val="el-GR"/>
              </w:rPr>
            </w:pPr>
            <w:r>
              <w:rPr>
                <w:rFonts w:cs="Arial" w:ascii="Calibri" w:hAnsi="Calibr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sz w:val="22"/>
                <w:szCs w:val="22"/>
                <w:lang w:val="el-GR"/>
              </w:rPr>
            </w:pPr>
            <w:r>
              <w:rPr>
                <w:rFonts w:cs="Arial" w:ascii="Calibri" w:hAnsi="Calibri"/>
                <w:sz w:val="22"/>
                <w:szCs w:val="22"/>
                <w:lang w:val="el-GR"/>
              </w:rP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r>
          </w:p>
        </w:tc>
      </w:tr>
      <w:tr>
        <w:trPr>
          <w:trHeight w:val="599"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i/>
                <w:i/>
                <w:sz w:val="22"/>
                <w:szCs w:val="22"/>
                <w:lang w:val="el-GR"/>
              </w:rPr>
            </w:pPr>
            <w:r>
              <w:rPr>
                <w:rFonts w:cs="Arial" w:ascii="Calibri" w:hAnsi="Calibri"/>
                <w:b/>
                <w:sz w:val="22"/>
                <w:szCs w:val="22"/>
                <w:lang w:val="el-GR"/>
              </w:rPr>
              <w:t>ΤΥΠΟΣ ΜΑΘΗΜΑΤΟΣ</w:t>
            </w:r>
          </w:p>
          <w:p>
            <w:pPr>
              <w:pStyle w:val="Normal"/>
              <w:jc w:val="right"/>
              <w:rPr>
                <w:rFonts w:ascii="Calibri" w:hAnsi="Calibri" w:cs="Arial"/>
                <w:i/>
                <w:i/>
                <w:sz w:val="22"/>
                <w:szCs w:val="22"/>
                <w:lang w:val="el-GR"/>
              </w:rPr>
            </w:pPr>
            <w:r>
              <w:rPr>
                <w:rFonts w:cs="Arial" w:ascii="Calibri" w:hAnsi="Calibri"/>
                <w:i/>
                <w:sz w:val="22"/>
                <w:szCs w:val="22"/>
                <w:lang w:val="el-GR"/>
              </w:rPr>
              <w:t xml:space="preserve">γενικού υποβάθρου, </w:t>
              <w:br/>
              <w:t xml:space="preserve">ειδικού υποβάθρου, ειδίκευσης </w:t>
            </w:r>
          </w:p>
          <w:p>
            <w:pPr>
              <w:pStyle w:val="Normal"/>
              <w:jc w:val="right"/>
              <w:rPr>
                <w:rFonts w:ascii="Calibri" w:hAnsi="Calibri" w:cs="Arial"/>
                <w:b/>
                <w:b/>
                <w:sz w:val="22"/>
                <w:szCs w:val="22"/>
                <w:lang w:val="el-GR"/>
              </w:rPr>
            </w:pPr>
            <w:r>
              <w:rPr>
                <w:rFonts w:cs="Arial" w:ascii="Calibri" w:hAnsi="Calibri"/>
                <w:i/>
                <w:sz w:val="22"/>
                <w:szCs w:val="22"/>
                <w:lang w:val="el-GR"/>
              </w:rPr>
              <w:t>γενικών γνώσεων, ανάπτυξης δεξιοτήτων</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t>Ειδικού υποβάθρου</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ΠΡΟΑΠΑΙΤΟΥΜΕΝΑ ΜΑΘΗΜΑΤΑ:</w:t>
            </w:r>
          </w:p>
          <w:p>
            <w:pPr>
              <w:pStyle w:val="Normal"/>
              <w:jc w:val="right"/>
              <w:rPr>
                <w:rFonts w:ascii="Calibri" w:hAnsi="Calibri" w:cs="Arial"/>
                <w:b/>
                <w:b/>
                <w:sz w:val="22"/>
                <w:szCs w:val="22"/>
                <w:lang w:val="el-GR"/>
              </w:rPr>
            </w:pPr>
            <w:r>
              <w:rPr>
                <w:rFonts w:cs="Arial" w:ascii="Calibri" w:hAnsi="Calibri"/>
                <w:b/>
                <w:sz w:val="22"/>
                <w:szCs w:val="22"/>
                <w:lang w:val="el-GR"/>
              </w:rPr>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t>Επιτυχή ολοκλήρωση των μαθημάτων ΚΥΕ-04 και ΑΥ-08</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rPr>
            </w:pPr>
            <w:r>
              <w:rPr>
                <w:rFonts w:cs="Arial" w:ascii="Calibri" w:hAnsi="Calibri"/>
                <w:b/>
                <w:sz w:val="22"/>
                <w:szCs w:val="22"/>
                <w:lang w:val="el-GR"/>
              </w:rPr>
              <w:t>Γ</w:t>
            </w:r>
            <w:r>
              <w:rPr>
                <w:rFonts w:cs="Arial" w:ascii="Calibri" w:hAnsi="Calibri"/>
                <w:b/>
                <w:sz w:val="22"/>
                <w:szCs w:val="22"/>
              </w:rPr>
              <w:t>ΛΩΣΣΑ ΔΙΔΑΣΚΑΛΙΑΣ</w:t>
            </w:r>
            <w:r>
              <w:rPr>
                <w:rFonts w:cs="Arial" w:ascii="Calibri" w:hAnsi="Calibri"/>
                <w:b/>
                <w:sz w:val="22"/>
                <w:szCs w:val="22"/>
                <w:lang w:val="el-GR"/>
              </w:rPr>
              <w:t xml:space="preserve"> και ΕΞΕΤΑΣΕΩΝ</w:t>
            </w:r>
            <w:r>
              <w:rPr>
                <w:rFonts w:cs="Arial" w:ascii="Calibri" w:hAnsi="Calibri"/>
                <w:b/>
                <w:sz w:val="22"/>
                <w:szCs w:val="22"/>
              </w:rPr>
              <w:t>:</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t>Ελληνική</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 xml:space="preserve">ΤΟ ΜΑΘΗΜΑ ΠΡΟΣΦΕΡΕΤΑΙ ΣΕ ΦΟΙΤΗΤΕΣ </w:t>
            </w:r>
            <w:r>
              <w:rPr>
                <w:rFonts w:cs="Arial" w:ascii="Calibri" w:hAnsi="Calibri"/>
                <w:b/>
                <w:sz w:val="22"/>
                <w:szCs w:val="22"/>
                <w:lang w:val="en-GB"/>
              </w:rPr>
              <w:t>ERASMUS</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rPr>
            </w:pPr>
            <w:r>
              <w:rPr>
                <w:rFonts w:cs="Arial" w:ascii="Calibri" w:hAnsi="Calibri"/>
                <w:sz w:val="22"/>
                <w:szCs w:val="22"/>
              </w:rPr>
              <w:t>----------</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n-GB"/>
              </w:rPr>
            </w:pPr>
            <w:r>
              <w:rPr>
                <w:rFonts w:cs="Arial" w:ascii="Calibri" w:hAnsi="Calibri"/>
                <w:b/>
                <w:sz w:val="22"/>
                <w:szCs w:val="22"/>
                <w:lang w:val="el-GR"/>
              </w:rPr>
              <w:t>ΗΛΕΚΤΡΟΝΙΚΗ ΣΕΛΙΔΑ ΜΑΘΗΜΑΤΟΣ (</w:t>
            </w:r>
            <w:r>
              <w:rPr>
                <w:rFonts w:cs="Arial" w:ascii="Calibri" w:hAnsi="Calibri"/>
                <w:b/>
                <w:sz w:val="22"/>
                <w:szCs w:val="22"/>
                <w:lang w:val="en-GB"/>
              </w:rPr>
              <w:t>URL)</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pPr>
            <w:hyperlink r:id="rId2">
              <w:r>
                <w:rPr>
                  <w:rStyle w:val="InternetLink"/>
                  <w:rFonts w:eastAsia="Calibri" w:cs="Arial" w:ascii="Calibri" w:hAnsi="Calibri"/>
                  <w:color w:val="00000A"/>
                  <w:sz w:val="22"/>
                  <w:szCs w:val="22"/>
                  <w:lang w:val="en-GB"/>
                </w:rPr>
                <w:t>https://eclass.aegean.gr/courses/TMS135/</w:t>
              </w:r>
            </w:hyperlink>
            <w:r>
              <w:rPr>
                <w:rFonts w:eastAsia="Calibri" w:cs="Arial" w:ascii="Calibri" w:hAnsi="Calibri"/>
                <w:sz w:val="22"/>
                <w:szCs w:val="22"/>
                <w:lang w:val="en-GB"/>
              </w:rPr>
              <w:t xml:space="preserve"> </w:t>
            </w:r>
          </w:p>
        </w:tc>
      </w:tr>
    </w:tbl>
    <w:p>
      <w:pPr>
        <w:pStyle w:val="Normal"/>
        <w:widowControl w:val="false"/>
        <w:numPr>
          <w:ilvl w:val="0"/>
          <w:numId w:val="1"/>
        </w:numPr>
        <w:spacing w:lineRule="auto" w:line="276" w:before="120" w:after="200"/>
        <w:ind w:left="357" w:hanging="357"/>
        <w:rPr>
          <w:rFonts w:ascii="Calibri" w:hAnsi="Calibri" w:cs="Arial"/>
          <w:b/>
          <w:b/>
          <w:sz w:val="22"/>
          <w:szCs w:val="22"/>
        </w:rPr>
      </w:pPr>
      <w:r>
        <w:rPr>
          <w:rFonts w:cs="Arial" w:ascii="Calibri" w:hAnsi="Calibri"/>
          <w:b/>
          <w:sz w:val="22"/>
          <w:szCs w:val="22"/>
          <w:lang w:val="el-GR"/>
        </w:rPr>
        <w:t>ΜΑΘΗΣΙΑΚΑ ΑΠΟΤΕΛΕΣΜΑΤΑ</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numPr>
                <w:ilvl w:val="0"/>
                <w:numId w:val="1"/>
              </w:numPr>
              <w:spacing w:lineRule="auto" w:line="276" w:before="120" w:after="200"/>
              <w:ind w:left="357" w:hanging="357"/>
              <w:rPr>
                <w:rFonts w:ascii="Calibri" w:hAnsi="Calibri" w:cs="Arial"/>
                <w:b/>
                <w:b/>
                <w:sz w:val="22"/>
                <w:szCs w:val="22"/>
                <w:lang w:val="el-GR"/>
              </w:rPr>
            </w:pPr>
            <w:r>
              <w:rPr>
                <w:rFonts w:cs="Arial" w:ascii="Calibri" w:hAnsi="Calibri"/>
                <w:b/>
                <w:sz w:val="22"/>
                <w:szCs w:val="22"/>
                <w:lang w:val="el-GR"/>
              </w:rPr>
              <w:t>ΠΕΡΙΕΧΟΜΕΝΟ ΜΑΘΗΜΑΤΟΣ</w:t>
            </w:r>
            <w:r>
              <mc:AlternateContent>
                <mc:Choice Requires="wps">
                  <w:drawing>
                    <wp:anchor behindDoc="0" distT="0" distB="0" distL="114300" distR="114300" simplePos="0" locked="0" layoutInCell="1" allowOverlap="1" relativeHeight="2">
                      <wp:simplePos x="0" y="0"/>
                      <wp:positionH relativeFrom="column">
                        <wp:posOffset>-71755</wp:posOffset>
                      </wp:positionH>
                      <wp:positionV relativeFrom="paragraph">
                        <wp:posOffset>635</wp:posOffset>
                      </wp:positionV>
                      <wp:extent cx="5379720" cy="7827010"/>
                      <wp:effectExtent l="0" t="0" r="0" b="0"/>
                      <wp:wrapSquare wrapText="bothSides"/>
                      <wp:docPr id="1" name="Frame1"/>
                      <a:graphic xmlns:a="http://schemas.openxmlformats.org/drawingml/2006/main">
                        <a:graphicData uri="http://schemas.microsoft.com/office/word/2010/wordprocessingShape">
                          <wps:wsp>
                            <wps:cNvSpPr txBox="1"/>
                            <wps:spPr>
                              <a:xfrm>
                                <a:off x="0" y="0"/>
                                <a:ext cx="5379720" cy="7827010"/>
                              </a:xfrm>
                              <a:prstGeom prst="rect"/>
                            </wps:spPr>
                            <wps:txbx>
                              <w:txbxContent>
                                <w:tbl>
                                  <w:tblPr>
                                    <w:tblpPr w:bottomFromText="0" w:horzAnchor="text" w:leftFromText="180" w:rightFromText="180" w:tblpX="0" w:tblpY="1" w:topFromText="0" w:vertAnchor="text"/>
                                    <w:tblW w:w="8472" w:type="dxa"/>
                                    <w:jc w:val="left"/>
                                    <w:tblInd w:w="108"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3964"/>
                                    <w:gridCol w:w="4507"/>
                                  </w:tblGrid>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2"/>
                                            <w:szCs w:val="22"/>
                                            <w:lang w:val="el-GR"/>
                                          </w:rPr>
                                          <w:t>Μαθησιακά Αποτελέσματα</w:t>
                                        </w:r>
                                      </w:p>
                                    </w:tc>
                                  </w:tr>
                                  <w:tr>
                                    <w:trPr/>
                                    <w:tc>
                                      <w:tcPr>
                                        <w:tcW w:w="847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22"/>
                                            <w:szCs w:val="22"/>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pPr>
                                        <w:r>
                                          <w:rPr>
                                            <w:rFonts w:cs="Arial" w:ascii="Calibri" w:hAnsi="Calibri"/>
                                            <w:i/>
                                            <w:sz w:val="22"/>
                                            <w:szCs w:val="22"/>
                                            <w:lang w:val="el-GR"/>
                                          </w:rPr>
                                          <w:t xml:space="preserve">Συμβουλευτείτε το Παράρτημα Α </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Περιγραφικοί Δείκτες Επιπέδων 6, 7 &amp; 8 του Ευρωπαϊκού Πλαισίου Προσόντων Διά Βίου Μάθησης και το Παράρτημα Β</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Περιληπτικός Οδηγός συγγραφής Μαθησιακών Αποτελεσμάτων</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Web"/>
                                          <w:spacing w:lineRule="auto" w:line="240" w:beforeAutospacing="0" w:before="0" w:afterAutospacing="0" w:after="0"/>
                                          <w:jc w:val="both"/>
                                          <w:rPr>
                                            <w:rFonts w:ascii="Calibri" w:hAnsi="Calibri"/>
                                            <w:sz w:val="22"/>
                                            <w:szCs w:val="22"/>
                                          </w:rPr>
                                        </w:pPr>
                                        <w:r>
                                          <w:rPr>
                                            <w:rFonts w:ascii="Calibri" w:hAnsi="Calibri"/>
                                            <w:sz w:val="22"/>
                                            <w:szCs w:val="22"/>
                                          </w:rPr>
                                        </w:r>
                                      </w:p>
                                      <w:p>
                                        <w:pPr>
                                          <w:pStyle w:val="NormalWeb"/>
                                          <w:spacing w:lineRule="auto" w:line="240" w:beforeAutospacing="0" w:before="0" w:afterAutospacing="0" w:after="0"/>
                                          <w:jc w:val="both"/>
                                          <w:rPr/>
                                        </w:pPr>
                                        <w:r>
                                          <w:rPr>
                                            <w:rFonts w:ascii="Calibri" w:hAnsi="Calibri"/>
                                            <w:sz w:val="22"/>
                                            <w:szCs w:val="22"/>
                                          </w:rPr>
                                          <w:t>Με την επιτυχή ολοκλήρωση αυτού του μαθήματος ο φοιτητής/η φοιτήτρια θα γνωρίζει:</w:t>
                                        </w:r>
                                      </w:p>
                                      <w:p>
                                        <w:pPr>
                                          <w:pStyle w:val="NormalWeb"/>
                                          <w:spacing w:lineRule="auto" w:line="240" w:beforeAutospacing="0" w:before="0" w:afterAutospacing="0" w:after="0"/>
                                          <w:jc w:val="both"/>
                                          <w:rPr>
                                            <w:rFonts w:ascii="Calibri" w:hAnsi="Calibri"/>
                                            <w:sz w:val="22"/>
                                            <w:szCs w:val="22"/>
                                          </w:rPr>
                                        </w:pPr>
                                        <w:r>
                                          <w:rPr>
                                            <w:rFonts w:ascii="Calibri" w:hAnsi="Calibri"/>
                                            <w:sz w:val="22"/>
                                            <w:szCs w:val="22"/>
                                          </w:rPr>
                                        </w:r>
                                      </w:p>
                                      <w:p>
                                        <w:pPr>
                                          <w:pStyle w:val="ListParagraph"/>
                                          <w:numPr>
                                            <w:ilvl w:val="0"/>
                                            <w:numId w:val="3"/>
                                          </w:numPr>
                                          <w:spacing w:lineRule="auto" w:line="240" w:before="0" w:after="0"/>
                                          <w:jc w:val="both"/>
                                          <w:rPr/>
                                        </w:pPr>
                                        <w:r>
                                          <w:rPr/>
                                          <w:t>διαφορετικές μεθοδολογικές προσεγγίσεις στην ιστορία και την αρχαιολογία της μετα-φαραωνικής Αιγύπτου,</w:t>
                                        </w:r>
                                      </w:p>
                                      <w:p>
                                        <w:pPr>
                                          <w:pStyle w:val="ListParagraph"/>
                                          <w:numPr>
                                            <w:ilvl w:val="0"/>
                                            <w:numId w:val="3"/>
                                          </w:numPr>
                                          <w:spacing w:lineRule="auto" w:line="240" w:before="0" w:after="0"/>
                                          <w:jc w:val="both"/>
                                          <w:rPr/>
                                        </w:pPr>
                                        <w:r>
                                          <w:rPr/>
                                          <w:t>σημαντικές αρχαιολογικές και κειμενογραφικές πηγές,</w:t>
                                        </w:r>
                                      </w:p>
                                      <w:p>
                                        <w:pPr>
                                          <w:pStyle w:val="ListParagraph"/>
                                          <w:numPr>
                                            <w:ilvl w:val="0"/>
                                            <w:numId w:val="3"/>
                                          </w:numPr>
                                          <w:spacing w:lineRule="auto" w:line="240" w:before="0" w:after="0"/>
                                          <w:jc w:val="both"/>
                                          <w:rPr/>
                                        </w:pPr>
                                        <w:r>
                                          <w:rPr/>
                                          <w:t xml:space="preserve">τις αιτίες παρακμής του αιγυπτιακού κράτους προς το τέλος του Νέου Βασιλείου, </w:t>
                                        </w:r>
                                      </w:p>
                                      <w:p>
                                        <w:pPr>
                                          <w:pStyle w:val="ListParagraph"/>
                                          <w:numPr>
                                            <w:ilvl w:val="0"/>
                                            <w:numId w:val="3"/>
                                          </w:numPr>
                                          <w:spacing w:lineRule="auto" w:line="240" w:before="0" w:after="0"/>
                                          <w:jc w:val="both"/>
                                          <w:rPr/>
                                        </w:pPr>
                                        <w:r>
                                          <w:rPr/>
                                          <w:t>τον χαρακτήρα και τις δομές της Τρίτης Μεταβατικής Περιόδου,</w:t>
                                        </w:r>
                                      </w:p>
                                      <w:p>
                                        <w:pPr>
                                          <w:pStyle w:val="ListParagraph"/>
                                          <w:numPr>
                                            <w:ilvl w:val="0"/>
                                            <w:numId w:val="3"/>
                                          </w:numPr>
                                          <w:spacing w:lineRule="auto" w:line="240" w:before="0" w:after="0"/>
                                          <w:jc w:val="both"/>
                                          <w:rPr/>
                                        </w:pPr>
                                        <w:r>
                                          <w:rPr/>
                                          <w:t>τον ρόλο των ξένων εθνολογικών ομάδων,</w:t>
                                        </w:r>
                                      </w:p>
                                      <w:p>
                                        <w:pPr>
                                          <w:pStyle w:val="ListParagraph"/>
                                          <w:numPr>
                                            <w:ilvl w:val="0"/>
                                            <w:numId w:val="3"/>
                                          </w:numPr>
                                          <w:spacing w:lineRule="auto" w:line="240" w:before="0" w:after="0"/>
                                          <w:jc w:val="both"/>
                                          <w:rPr/>
                                        </w:pPr>
                                        <w:r>
                                          <w:rPr/>
                                          <w:t>τις μετακινήσεις θρησκευτικών ιδεών, λατρειών και συμβόλων στο πολυπολιτισμικό περιβάλλον της νοτιοανατολικής Μεσογείου</w:t>
                                        </w:r>
                                      </w:p>
                                      <w:p>
                                        <w:pPr>
                                          <w:pStyle w:val="ListParagraph"/>
                                          <w:numPr>
                                            <w:ilvl w:val="0"/>
                                            <w:numId w:val="3"/>
                                          </w:numPr>
                                          <w:spacing w:lineRule="auto" w:line="240" w:before="0" w:after="0"/>
                                          <w:jc w:val="both"/>
                                          <w:rPr/>
                                        </w:pPr>
                                        <w:r>
                                          <w:rPr/>
                                          <w:t>σημαίνουσες πτυχές της κοινωνικής και θρησκευτικής ιδεολογίας και πρακτικής της ελληνορωμαϊκής Αιγύπτου,</w:t>
                                        </w:r>
                                      </w:p>
                                      <w:p>
                                        <w:pPr>
                                          <w:pStyle w:val="NormalWeb"/>
                                          <w:numPr>
                                            <w:ilvl w:val="0"/>
                                            <w:numId w:val="3"/>
                                          </w:numPr>
                                          <w:spacing w:lineRule="auto" w:line="240" w:beforeAutospacing="0" w:before="0" w:afterAutospacing="0" w:after="0"/>
                                          <w:rPr/>
                                        </w:pPr>
                                        <w:r>
                                          <w:rPr>
                                            <w:rFonts w:ascii="Calibri" w:hAnsi="Calibri"/>
                                            <w:sz w:val="22"/>
                                            <w:szCs w:val="22"/>
                                          </w:rPr>
                                          <w:t>το ρόλο της Αιγύπτου στο πολυπολιτισμικό περιβάλλον Μεσογείου κατά το δεύτερο μισό της 1ης χιλιετίας π.Χ και την Ύστερη αρχαιότητα</w:t>
                                        </w:r>
                                      </w:p>
                                      <w:p>
                                        <w:pPr>
                                          <w:pStyle w:val="NormalWeb"/>
                                          <w:numPr>
                                            <w:ilvl w:val="0"/>
                                            <w:numId w:val="3"/>
                                          </w:numPr>
                                          <w:spacing w:lineRule="auto" w:line="240" w:beforeAutospacing="0" w:before="0" w:afterAutospacing="0" w:after="0"/>
                                          <w:rPr/>
                                        </w:pPr>
                                        <w:r>
                                          <w:rPr>
                                            <w:rFonts w:ascii="Calibri" w:hAnsi="Calibri"/>
                                            <w:sz w:val="22"/>
                                            <w:szCs w:val="22"/>
                                          </w:rPr>
                                          <w:t>τον θρησκευτικό συγκρητισμό και τη λατρευτική ώσμωση της γηγενούς φαραωνικής παράδοσης με την ελληνική θρησκευτική πρακτική στην ελληνιστική Αίγυπτο</w:t>
                                        </w:r>
                                      </w:p>
                                      <w:p>
                                        <w:pPr>
                                          <w:pStyle w:val="NormalWeb"/>
                                          <w:spacing w:lineRule="auto" w:line="240" w:beforeAutospacing="0" w:before="0" w:afterAutospacing="0" w:after="0"/>
                                          <w:rPr>
                                            <w:rFonts w:ascii="Calibri" w:hAnsi="Calibri"/>
                                            <w:sz w:val="22"/>
                                            <w:szCs w:val="22"/>
                                          </w:rPr>
                                        </w:pPr>
                                        <w:r>
                                          <w:rPr>
                                            <w:rFonts w:ascii="Calibri" w:hAnsi="Calibri"/>
                                            <w:sz w:val="22"/>
                                            <w:szCs w:val="22"/>
                                          </w:rPr>
                                        </w:r>
                                      </w:p>
                                    </w:tc>
                                  </w:tr>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2"/>
                                            <w:szCs w:val="22"/>
                                            <w:lang w:val="el-GR"/>
                                          </w:rPr>
                                          <w:t>Γενικές Ικανότητες</w:t>
                                        </w:r>
                                      </w:p>
                                    </w:tc>
                                  </w:tr>
                                  <w:tr>
                                    <w:trPr/>
                                    <w:tc>
                                      <w:tcPr>
                                        <w:tcW w:w="8471" w:type="dxa"/>
                                        <w:gridSpan w:val="2"/>
                                        <w:tcBorders>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22"/>
                                            <w:szCs w:val="22"/>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A"/>
                                          <w:bottom w:val="single" w:sz="4" w:space="0" w:color="00000A"/>
                                          <w:insideH w:val="single" w:sz="4" w:space="0" w:color="00000A"/>
                                        </w:tcBorders>
                                        <w:shd w:color="auto" w:fill="DDD9C3" w:themeFill="background2" w:themeFillShade="e6" w:val="clear"/>
                                        <w:tcMar>
                                          <w:left w:w="103" w:type="dxa"/>
                                        </w:tcMar>
                                      </w:tcPr>
                                      <w:p>
                                        <w:pPr>
                                          <w:pStyle w:val="Normal"/>
                                          <w:widowControl w:val="false"/>
                                          <w:rPr/>
                                        </w:pPr>
                                        <w:r>
                                          <w:rPr>
                                            <w:rFonts w:cs="Arial" w:ascii="Calibri" w:hAnsi="Calibri"/>
                                            <w:i/>
                                            <w:sz w:val="22"/>
                                            <w:szCs w:val="22"/>
                                            <w:lang w:val="el-GR"/>
                                          </w:rPr>
                                          <w:t xml:space="preserve">Προσαρμογή σε νέες καταστάσεις </w:t>
                                        </w:r>
                                      </w:p>
                                      <w:p>
                                        <w:pPr>
                                          <w:pStyle w:val="Normal"/>
                                          <w:widowControl w:val="false"/>
                                          <w:rPr/>
                                        </w:pPr>
                                        <w:r>
                                          <w:rPr>
                                            <w:rFonts w:cs="Arial" w:ascii="Calibri" w:hAnsi="Calibri"/>
                                            <w:i/>
                                            <w:sz w:val="22"/>
                                            <w:szCs w:val="22"/>
                                            <w:lang w:val="el-GR"/>
                                          </w:rPr>
                                          <w:t xml:space="preserve">Λήψη αποφάσεων </w:t>
                                        </w:r>
                                      </w:p>
                                      <w:p>
                                        <w:pPr>
                                          <w:pStyle w:val="Normal"/>
                                          <w:widowControl w:val="false"/>
                                          <w:rPr/>
                                        </w:pPr>
                                        <w:r>
                                          <w:rPr>
                                            <w:rFonts w:cs="Arial" w:ascii="Calibri" w:hAnsi="Calibri"/>
                                            <w:i/>
                                            <w:sz w:val="22"/>
                                            <w:szCs w:val="22"/>
                                            <w:lang w:val="el-GR"/>
                                          </w:rPr>
                                          <w:t xml:space="preserve">Αυτόνομη εργασία </w:t>
                                        </w:r>
                                      </w:p>
                                      <w:p>
                                        <w:pPr>
                                          <w:pStyle w:val="Normal"/>
                                          <w:widowControl w:val="false"/>
                                          <w:rPr/>
                                        </w:pPr>
                                        <w:r>
                                          <w:rPr>
                                            <w:rFonts w:cs="Arial" w:ascii="Calibri" w:hAnsi="Calibri"/>
                                            <w:i/>
                                            <w:sz w:val="22"/>
                                            <w:szCs w:val="22"/>
                                            <w:lang w:val="el-GR"/>
                                          </w:rPr>
                                          <w:t xml:space="preserve">Ομαδική εργασία </w:t>
                                        </w:r>
                                      </w:p>
                                      <w:p>
                                        <w:pPr>
                                          <w:pStyle w:val="Normal"/>
                                          <w:widowControl w:val="false"/>
                                          <w:rPr>
                                            <w:rFonts w:ascii="Calibri" w:hAnsi="Calibri" w:cs="Arial"/>
                                            <w:i/>
                                            <w:i/>
                                            <w:sz w:val="22"/>
                                            <w:szCs w:val="22"/>
                                            <w:lang w:val="el-GR"/>
                                          </w:rPr>
                                        </w:pPr>
                                        <w:r>
                                          <w:rPr>
                                            <w:rFonts w:cs="Arial" w:ascii="Calibri" w:hAnsi="Calibri"/>
                                            <w:i/>
                                            <w:sz w:val="22"/>
                                            <w:szCs w:val="22"/>
                                            <w:lang w:val="el-GR"/>
                                          </w:rPr>
                                        </w:r>
                                      </w:p>
                                    </w:tc>
                                    <w:tc>
                                      <w:tcPr>
                                        <w:tcW w:w="4507" w:type="dxa"/>
                                        <w:tcBorders>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pPr>
                                        <w:r>
                                          <w:rPr>
                                            <w:rFonts w:cs="Arial" w:ascii="Calibri" w:hAnsi="Calibri"/>
                                            <w:i/>
                                            <w:sz w:val="22"/>
                                            <w:szCs w:val="22"/>
                                            <w:lang w:val="el-GR"/>
                                          </w:rPr>
                                          <w:t>Παράγωγή νέων ερευνητικών ιδεών</w:t>
                                        </w:r>
                                      </w:p>
                                      <w:p>
                                        <w:pPr>
                                          <w:pStyle w:val="Normal"/>
                                          <w:widowControl w:val="false"/>
                                          <w:rPr/>
                                        </w:pPr>
                                        <w:r>
                                          <w:rPr>
                                            <w:rFonts w:cs="Arial" w:ascii="Calibri" w:hAnsi="Calibri"/>
                                            <w:i/>
                                            <w:sz w:val="22"/>
                                            <w:szCs w:val="22"/>
                                            <w:lang w:val="el-GR"/>
                                          </w:rPr>
                                          <w:t xml:space="preserve">Άσκηση κριτικής και αυτοκριτικής </w:t>
                                        </w:r>
                                      </w:p>
                                      <w:p>
                                        <w:pPr>
                                          <w:pStyle w:val="Normal"/>
                                          <w:rPr/>
                                        </w:pPr>
                                        <w:r>
                                          <w:rPr>
                                            <w:rFonts w:cs="Arial" w:ascii="Calibri" w:hAnsi="Calibri"/>
                                            <w:i/>
                                            <w:sz w:val="22"/>
                                            <w:szCs w:val="22"/>
                                            <w:lang w:val="el-GR"/>
                                          </w:rPr>
                                          <w:t>Προαγωγή της ελεύθερης, δημιουργικής και επαγωγικής σκέψης</w:t>
                                        </w:r>
                                      </w:p>
                                      <w:p>
                                        <w:pPr>
                                          <w:pStyle w:val="Normal"/>
                                          <w:widowControl w:val="false"/>
                                          <w:rPr/>
                                        </w:pPr>
                                        <w:r>
                                          <w:rPr>
                                            <w:rFonts w:cs="Arial" w:ascii="Calibri" w:hAnsi="Calibri"/>
                                            <w:i/>
                                            <w:sz w:val="22"/>
                                            <w:szCs w:val="22"/>
                                            <w:lang w:val="el-GR"/>
                                          </w:rPr>
                                          <w:t xml:space="preserve">Εργασία σε διεπιστημονικό περιβάλλον </w:t>
                                        </w:r>
                                      </w:p>
                                      <w:p>
                                        <w:pPr>
                                          <w:pStyle w:val="Normal"/>
                                          <w:rPr>
                                            <w:rFonts w:ascii="Calibri" w:hAnsi="Calibri" w:cs="Arial"/>
                                            <w:i/>
                                            <w:i/>
                                            <w:sz w:val="22"/>
                                            <w:szCs w:val="22"/>
                                            <w:lang w:val="el-GR"/>
                                          </w:rPr>
                                        </w:pPr>
                                        <w:r>
                                          <w:rPr>
                                            <w:rFonts w:cs="Arial" w:ascii="Calibri" w:hAnsi="Calibri"/>
                                            <w:i/>
                                            <w:sz w:val="22"/>
                                            <w:szCs w:val="22"/>
                                            <w:lang w:val="el-GR"/>
                                          </w:rPr>
                                        </w:r>
                                      </w:p>
                                    </w:tc>
                                  </w:tr>
                                </w:tbl>
                              </w:txbxContent>
                            </wps:txbx>
                            <wps:bodyPr anchor="t" lIns="0" tIns="0" rIns="0" bIns="0">
                              <a:spAutoFit/>
                            </wps:bodyPr>
                          </wps:wsp>
                        </a:graphicData>
                      </a:graphic>
                    </wp:anchor>
                  </w:drawing>
                </mc:Choice>
                <mc:Fallback>
                  <w:pict>
                    <v:rect style="position:absolute;rotation:0;width:423.6pt;height:616.3pt;mso-wrap-distance-left:9pt;mso-wrap-distance-right:9pt;mso-wrap-distance-top:0pt;mso-wrap-distance-bottom:0pt;margin-top:0.05pt;mso-position-vertical-relative:text;margin-left:-5.65pt;mso-position-horizontal-relative:text">
                      <v:textbox inset="0in,0in,0in,0in">
                        <w:txbxContent>
                          <w:tbl>
                            <w:tblPr>
                              <w:tblpPr w:bottomFromText="0" w:horzAnchor="text" w:leftFromText="180" w:rightFromText="180" w:tblpX="0" w:tblpY="1" w:topFromText="0" w:vertAnchor="text"/>
                              <w:tblW w:w="8472" w:type="dxa"/>
                              <w:jc w:val="left"/>
                              <w:tblInd w:w="108"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3964"/>
                              <w:gridCol w:w="4507"/>
                            </w:tblGrid>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2"/>
                                      <w:szCs w:val="22"/>
                                      <w:lang w:val="el-GR"/>
                                    </w:rPr>
                                    <w:t>Μαθησιακά Αποτελέσματα</w:t>
                                  </w:r>
                                </w:p>
                              </w:tc>
                            </w:tr>
                            <w:tr>
                              <w:trPr/>
                              <w:tc>
                                <w:tcPr>
                                  <w:tcW w:w="847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22"/>
                                      <w:szCs w:val="22"/>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pPr>
                                  <w:r>
                                    <w:rPr>
                                      <w:rFonts w:cs="Arial" w:ascii="Calibri" w:hAnsi="Calibri"/>
                                      <w:i/>
                                      <w:sz w:val="22"/>
                                      <w:szCs w:val="22"/>
                                      <w:lang w:val="el-GR"/>
                                    </w:rPr>
                                    <w:t xml:space="preserve">Συμβουλευτείτε το Παράρτημα Α </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Περιγραφικοί Δείκτες Επιπέδων 6, 7 &amp; 8 του Ευρωπαϊκού Πλαισίου Προσόντων Διά Βίου Μάθησης και το Παράρτημα Β</w:t>
                                  </w:r>
                                </w:p>
                                <w:p>
                                  <w:pPr>
                                    <w:pStyle w:val="Normal"/>
                                    <w:widowControl w:val="false"/>
                                    <w:numPr>
                                      <w:ilvl w:val="0"/>
                                      <w:numId w:val="2"/>
                                    </w:numPr>
                                    <w:spacing w:lineRule="auto" w:line="276" w:before="0" w:after="200"/>
                                    <w:ind w:left="313" w:hanging="219"/>
                                    <w:contextualSpacing/>
                                    <w:rPr/>
                                  </w:pPr>
                                  <w:r>
                                    <w:rPr>
                                      <w:rFonts w:cs="Arial" w:ascii="Calibri" w:hAnsi="Calibri"/>
                                      <w:i/>
                                      <w:sz w:val="22"/>
                                      <w:szCs w:val="22"/>
                                      <w:lang w:val="el-GR"/>
                                    </w:rPr>
                                    <w:t>Περιληπτικός Οδηγός συγγραφής Μαθησιακών Αποτελεσμάτων</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Web"/>
                                    <w:spacing w:lineRule="auto" w:line="240" w:beforeAutospacing="0" w:before="0" w:afterAutospacing="0" w:after="0"/>
                                    <w:jc w:val="both"/>
                                    <w:rPr>
                                      <w:rFonts w:ascii="Calibri" w:hAnsi="Calibri"/>
                                      <w:sz w:val="22"/>
                                      <w:szCs w:val="22"/>
                                    </w:rPr>
                                  </w:pPr>
                                  <w:r>
                                    <w:rPr>
                                      <w:rFonts w:ascii="Calibri" w:hAnsi="Calibri"/>
                                      <w:sz w:val="22"/>
                                      <w:szCs w:val="22"/>
                                    </w:rPr>
                                  </w:r>
                                </w:p>
                                <w:p>
                                  <w:pPr>
                                    <w:pStyle w:val="NormalWeb"/>
                                    <w:spacing w:lineRule="auto" w:line="240" w:beforeAutospacing="0" w:before="0" w:afterAutospacing="0" w:after="0"/>
                                    <w:jc w:val="both"/>
                                    <w:rPr/>
                                  </w:pPr>
                                  <w:r>
                                    <w:rPr>
                                      <w:rFonts w:ascii="Calibri" w:hAnsi="Calibri"/>
                                      <w:sz w:val="22"/>
                                      <w:szCs w:val="22"/>
                                    </w:rPr>
                                    <w:t>Με την επιτυχή ολοκλήρωση αυτού του μαθήματος ο φοιτητής/η φοιτήτρια θα γνωρίζει:</w:t>
                                  </w:r>
                                </w:p>
                                <w:p>
                                  <w:pPr>
                                    <w:pStyle w:val="NormalWeb"/>
                                    <w:spacing w:lineRule="auto" w:line="240" w:beforeAutospacing="0" w:before="0" w:afterAutospacing="0" w:after="0"/>
                                    <w:jc w:val="both"/>
                                    <w:rPr>
                                      <w:rFonts w:ascii="Calibri" w:hAnsi="Calibri"/>
                                      <w:sz w:val="22"/>
                                      <w:szCs w:val="22"/>
                                    </w:rPr>
                                  </w:pPr>
                                  <w:r>
                                    <w:rPr>
                                      <w:rFonts w:ascii="Calibri" w:hAnsi="Calibri"/>
                                      <w:sz w:val="22"/>
                                      <w:szCs w:val="22"/>
                                    </w:rPr>
                                  </w:r>
                                </w:p>
                                <w:p>
                                  <w:pPr>
                                    <w:pStyle w:val="ListParagraph"/>
                                    <w:numPr>
                                      <w:ilvl w:val="0"/>
                                      <w:numId w:val="3"/>
                                    </w:numPr>
                                    <w:spacing w:lineRule="auto" w:line="240" w:before="0" w:after="0"/>
                                    <w:jc w:val="both"/>
                                    <w:rPr/>
                                  </w:pPr>
                                  <w:r>
                                    <w:rPr/>
                                    <w:t>διαφορετικές μεθοδολογικές προσεγγίσεις στην ιστορία και την αρχαιολογία της μετα-φαραωνικής Αιγύπτου,</w:t>
                                  </w:r>
                                </w:p>
                                <w:p>
                                  <w:pPr>
                                    <w:pStyle w:val="ListParagraph"/>
                                    <w:numPr>
                                      <w:ilvl w:val="0"/>
                                      <w:numId w:val="3"/>
                                    </w:numPr>
                                    <w:spacing w:lineRule="auto" w:line="240" w:before="0" w:after="0"/>
                                    <w:jc w:val="both"/>
                                    <w:rPr/>
                                  </w:pPr>
                                  <w:r>
                                    <w:rPr/>
                                    <w:t>σημαντικές αρχαιολογικές και κειμενογραφικές πηγές,</w:t>
                                  </w:r>
                                </w:p>
                                <w:p>
                                  <w:pPr>
                                    <w:pStyle w:val="ListParagraph"/>
                                    <w:numPr>
                                      <w:ilvl w:val="0"/>
                                      <w:numId w:val="3"/>
                                    </w:numPr>
                                    <w:spacing w:lineRule="auto" w:line="240" w:before="0" w:after="0"/>
                                    <w:jc w:val="both"/>
                                    <w:rPr/>
                                  </w:pPr>
                                  <w:r>
                                    <w:rPr/>
                                    <w:t xml:space="preserve">τις αιτίες παρακμής του αιγυπτιακού κράτους προς το τέλος του Νέου Βασιλείου, </w:t>
                                  </w:r>
                                </w:p>
                                <w:p>
                                  <w:pPr>
                                    <w:pStyle w:val="ListParagraph"/>
                                    <w:numPr>
                                      <w:ilvl w:val="0"/>
                                      <w:numId w:val="3"/>
                                    </w:numPr>
                                    <w:spacing w:lineRule="auto" w:line="240" w:before="0" w:after="0"/>
                                    <w:jc w:val="both"/>
                                    <w:rPr/>
                                  </w:pPr>
                                  <w:r>
                                    <w:rPr/>
                                    <w:t>τον χαρακτήρα και τις δομές της Τρίτης Μεταβατικής Περιόδου,</w:t>
                                  </w:r>
                                </w:p>
                                <w:p>
                                  <w:pPr>
                                    <w:pStyle w:val="ListParagraph"/>
                                    <w:numPr>
                                      <w:ilvl w:val="0"/>
                                      <w:numId w:val="3"/>
                                    </w:numPr>
                                    <w:spacing w:lineRule="auto" w:line="240" w:before="0" w:after="0"/>
                                    <w:jc w:val="both"/>
                                    <w:rPr/>
                                  </w:pPr>
                                  <w:r>
                                    <w:rPr/>
                                    <w:t>τον ρόλο των ξένων εθνολογικών ομάδων,</w:t>
                                  </w:r>
                                </w:p>
                                <w:p>
                                  <w:pPr>
                                    <w:pStyle w:val="ListParagraph"/>
                                    <w:numPr>
                                      <w:ilvl w:val="0"/>
                                      <w:numId w:val="3"/>
                                    </w:numPr>
                                    <w:spacing w:lineRule="auto" w:line="240" w:before="0" w:after="0"/>
                                    <w:jc w:val="both"/>
                                    <w:rPr/>
                                  </w:pPr>
                                  <w:r>
                                    <w:rPr/>
                                    <w:t>τις μετακινήσεις θρησκευτικών ιδεών, λατρειών και συμβόλων στο πολυπολιτισμικό περιβάλλον της νοτιοανατολικής Μεσογείου</w:t>
                                  </w:r>
                                </w:p>
                                <w:p>
                                  <w:pPr>
                                    <w:pStyle w:val="ListParagraph"/>
                                    <w:numPr>
                                      <w:ilvl w:val="0"/>
                                      <w:numId w:val="3"/>
                                    </w:numPr>
                                    <w:spacing w:lineRule="auto" w:line="240" w:before="0" w:after="0"/>
                                    <w:jc w:val="both"/>
                                    <w:rPr/>
                                  </w:pPr>
                                  <w:r>
                                    <w:rPr/>
                                    <w:t>σημαίνουσες πτυχές της κοινωνικής και θρησκευτικής ιδεολογίας και πρακτικής της ελληνορωμαϊκής Αιγύπτου,</w:t>
                                  </w:r>
                                </w:p>
                                <w:p>
                                  <w:pPr>
                                    <w:pStyle w:val="NormalWeb"/>
                                    <w:numPr>
                                      <w:ilvl w:val="0"/>
                                      <w:numId w:val="3"/>
                                    </w:numPr>
                                    <w:spacing w:lineRule="auto" w:line="240" w:beforeAutospacing="0" w:before="0" w:afterAutospacing="0" w:after="0"/>
                                    <w:rPr/>
                                  </w:pPr>
                                  <w:r>
                                    <w:rPr>
                                      <w:rFonts w:ascii="Calibri" w:hAnsi="Calibri"/>
                                      <w:sz w:val="22"/>
                                      <w:szCs w:val="22"/>
                                    </w:rPr>
                                    <w:t>το ρόλο της Αιγύπτου στο πολυπολιτισμικό περιβάλλον Μεσογείου κατά το δεύτερο μισό της 1ης χιλιετίας π.Χ και την Ύστερη αρχαιότητα</w:t>
                                  </w:r>
                                </w:p>
                                <w:p>
                                  <w:pPr>
                                    <w:pStyle w:val="NormalWeb"/>
                                    <w:numPr>
                                      <w:ilvl w:val="0"/>
                                      <w:numId w:val="3"/>
                                    </w:numPr>
                                    <w:spacing w:lineRule="auto" w:line="240" w:beforeAutospacing="0" w:before="0" w:afterAutospacing="0" w:after="0"/>
                                    <w:rPr/>
                                  </w:pPr>
                                  <w:r>
                                    <w:rPr>
                                      <w:rFonts w:ascii="Calibri" w:hAnsi="Calibri"/>
                                      <w:sz w:val="22"/>
                                      <w:szCs w:val="22"/>
                                    </w:rPr>
                                    <w:t>τον θρησκευτικό συγκρητισμό και τη λατρευτική ώσμωση της γηγενούς φαραωνικής παράδοσης με την ελληνική θρησκευτική πρακτική στην ελληνιστική Αίγυπτο</w:t>
                                  </w:r>
                                </w:p>
                                <w:p>
                                  <w:pPr>
                                    <w:pStyle w:val="NormalWeb"/>
                                    <w:spacing w:lineRule="auto" w:line="240" w:beforeAutospacing="0" w:before="0" w:afterAutospacing="0" w:after="0"/>
                                    <w:rPr>
                                      <w:rFonts w:ascii="Calibri" w:hAnsi="Calibri"/>
                                      <w:sz w:val="22"/>
                                      <w:szCs w:val="22"/>
                                    </w:rPr>
                                  </w:pPr>
                                  <w:r>
                                    <w:rPr>
                                      <w:rFonts w:ascii="Calibri" w:hAnsi="Calibri"/>
                                      <w:sz w:val="22"/>
                                      <w:szCs w:val="22"/>
                                    </w:rPr>
                                  </w:r>
                                </w:p>
                              </w:tc>
                            </w:tr>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b/>
                                      <w:sz w:val="22"/>
                                      <w:szCs w:val="22"/>
                                      <w:lang w:val="el-GR"/>
                                    </w:rPr>
                                    <w:t>Γενικές Ικανότητες</w:t>
                                  </w:r>
                                </w:p>
                              </w:tc>
                            </w:tr>
                            <w:tr>
                              <w:trPr/>
                              <w:tc>
                                <w:tcPr>
                                  <w:tcW w:w="8471" w:type="dxa"/>
                                  <w:gridSpan w:val="2"/>
                                  <w:tcBorders>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i/>
                                      <w:sz w:val="22"/>
                                      <w:szCs w:val="22"/>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A"/>
                                    <w:bottom w:val="single" w:sz="4" w:space="0" w:color="00000A"/>
                                    <w:insideH w:val="single" w:sz="4" w:space="0" w:color="00000A"/>
                                  </w:tcBorders>
                                  <w:shd w:color="auto" w:fill="DDD9C3" w:themeFill="background2" w:themeFillShade="e6" w:val="clear"/>
                                  <w:tcMar>
                                    <w:left w:w="103" w:type="dxa"/>
                                  </w:tcMar>
                                </w:tcPr>
                                <w:p>
                                  <w:pPr>
                                    <w:pStyle w:val="Normal"/>
                                    <w:widowControl w:val="false"/>
                                    <w:rPr/>
                                  </w:pPr>
                                  <w:r>
                                    <w:rPr>
                                      <w:rFonts w:cs="Arial" w:ascii="Calibri" w:hAnsi="Calibri"/>
                                      <w:i/>
                                      <w:sz w:val="22"/>
                                      <w:szCs w:val="22"/>
                                      <w:lang w:val="el-GR"/>
                                    </w:rPr>
                                    <w:t xml:space="preserve">Προσαρμογή σε νέες καταστάσεις </w:t>
                                  </w:r>
                                </w:p>
                                <w:p>
                                  <w:pPr>
                                    <w:pStyle w:val="Normal"/>
                                    <w:widowControl w:val="false"/>
                                    <w:rPr/>
                                  </w:pPr>
                                  <w:r>
                                    <w:rPr>
                                      <w:rFonts w:cs="Arial" w:ascii="Calibri" w:hAnsi="Calibri"/>
                                      <w:i/>
                                      <w:sz w:val="22"/>
                                      <w:szCs w:val="22"/>
                                      <w:lang w:val="el-GR"/>
                                    </w:rPr>
                                    <w:t xml:space="preserve">Λήψη αποφάσεων </w:t>
                                  </w:r>
                                </w:p>
                                <w:p>
                                  <w:pPr>
                                    <w:pStyle w:val="Normal"/>
                                    <w:widowControl w:val="false"/>
                                    <w:rPr/>
                                  </w:pPr>
                                  <w:r>
                                    <w:rPr>
                                      <w:rFonts w:cs="Arial" w:ascii="Calibri" w:hAnsi="Calibri"/>
                                      <w:i/>
                                      <w:sz w:val="22"/>
                                      <w:szCs w:val="22"/>
                                      <w:lang w:val="el-GR"/>
                                    </w:rPr>
                                    <w:t xml:space="preserve">Αυτόνομη εργασία </w:t>
                                  </w:r>
                                </w:p>
                                <w:p>
                                  <w:pPr>
                                    <w:pStyle w:val="Normal"/>
                                    <w:widowControl w:val="false"/>
                                    <w:rPr/>
                                  </w:pPr>
                                  <w:r>
                                    <w:rPr>
                                      <w:rFonts w:cs="Arial" w:ascii="Calibri" w:hAnsi="Calibri"/>
                                      <w:i/>
                                      <w:sz w:val="22"/>
                                      <w:szCs w:val="22"/>
                                      <w:lang w:val="el-GR"/>
                                    </w:rPr>
                                    <w:t xml:space="preserve">Ομαδική εργασία </w:t>
                                  </w:r>
                                </w:p>
                                <w:p>
                                  <w:pPr>
                                    <w:pStyle w:val="Normal"/>
                                    <w:widowControl w:val="false"/>
                                    <w:rPr>
                                      <w:rFonts w:ascii="Calibri" w:hAnsi="Calibri" w:cs="Arial"/>
                                      <w:i/>
                                      <w:i/>
                                      <w:sz w:val="22"/>
                                      <w:szCs w:val="22"/>
                                      <w:lang w:val="el-GR"/>
                                    </w:rPr>
                                  </w:pPr>
                                  <w:r>
                                    <w:rPr>
                                      <w:rFonts w:cs="Arial" w:ascii="Calibri" w:hAnsi="Calibri"/>
                                      <w:i/>
                                      <w:sz w:val="22"/>
                                      <w:szCs w:val="22"/>
                                      <w:lang w:val="el-GR"/>
                                    </w:rPr>
                                  </w:r>
                                </w:p>
                              </w:tc>
                              <w:tc>
                                <w:tcPr>
                                  <w:tcW w:w="4507" w:type="dxa"/>
                                  <w:tcBorders>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pPr>
                                  <w:r>
                                    <w:rPr>
                                      <w:rFonts w:cs="Arial" w:ascii="Calibri" w:hAnsi="Calibri"/>
                                      <w:i/>
                                      <w:sz w:val="22"/>
                                      <w:szCs w:val="22"/>
                                      <w:lang w:val="el-GR"/>
                                    </w:rPr>
                                    <w:t>Παράγωγή νέων ερευνητικών ιδεών</w:t>
                                  </w:r>
                                </w:p>
                                <w:p>
                                  <w:pPr>
                                    <w:pStyle w:val="Normal"/>
                                    <w:widowControl w:val="false"/>
                                    <w:rPr/>
                                  </w:pPr>
                                  <w:r>
                                    <w:rPr>
                                      <w:rFonts w:cs="Arial" w:ascii="Calibri" w:hAnsi="Calibri"/>
                                      <w:i/>
                                      <w:sz w:val="22"/>
                                      <w:szCs w:val="22"/>
                                      <w:lang w:val="el-GR"/>
                                    </w:rPr>
                                    <w:t xml:space="preserve">Άσκηση κριτικής και αυτοκριτικής </w:t>
                                  </w:r>
                                </w:p>
                                <w:p>
                                  <w:pPr>
                                    <w:pStyle w:val="Normal"/>
                                    <w:rPr/>
                                  </w:pPr>
                                  <w:r>
                                    <w:rPr>
                                      <w:rFonts w:cs="Arial" w:ascii="Calibri" w:hAnsi="Calibri"/>
                                      <w:i/>
                                      <w:sz w:val="22"/>
                                      <w:szCs w:val="22"/>
                                      <w:lang w:val="el-GR"/>
                                    </w:rPr>
                                    <w:t>Προαγωγή της ελεύθερης, δημιουργικής και επαγωγικής σκέψης</w:t>
                                  </w:r>
                                </w:p>
                                <w:p>
                                  <w:pPr>
                                    <w:pStyle w:val="Normal"/>
                                    <w:widowControl w:val="false"/>
                                    <w:rPr/>
                                  </w:pPr>
                                  <w:r>
                                    <w:rPr>
                                      <w:rFonts w:cs="Arial" w:ascii="Calibri" w:hAnsi="Calibri"/>
                                      <w:i/>
                                      <w:sz w:val="22"/>
                                      <w:szCs w:val="22"/>
                                      <w:lang w:val="el-GR"/>
                                    </w:rPr>
                                    <w:t xml:space="preserve">Εργασία σε διεπιστημονικό περιβάλλον </w:t>
                                  </w:r>
                                </w:p>
                                <w:p>
                                  <w:pPr>
                                    <w:pStyle w:val="Normal"/>
                                    <w:rPr>
                                      <w:rFonts w:ascii="Calibri" w:hAnsi="Calibri" w:cs="Arial"/>
                                      <w:i/>
                                      <w:i/>
                                      <w:sz w:val="22"/>
                                      <w:szCs w:val="22"/>
                                      <w:lang w:val="el-GR"/>
                                    </w:rPr>
                                  </w:pPr>
                                  <w:r>
                                    <w:rPr>
                                      <w:rFonts w:cs="Arial" w:ascii="Calibri" w:hAnsi="Calibri"/>
                                      <w:i/>
                                      <w:sz w:val="22"/>
                                      <w:szCs w:val="22"/>
                                      <w:lang w:val="el-GR"/>
                                    </w:rPr>
                                  </w:r>
                                </w:p>
                              </w:tc>
                            </w:tr>
                          </w:tbl>
                        </w:txbxContent>
                      </v:textbox>
                      <w10:wrap type="square"/>
                    </v:rect>
                  </w:pict>
                </mc:Fallback>
              </mc:AlternateContent>
            </w:r>
          </w:p>
          <w:p>
            <w:pPr>
              <w:pStyle w:val="Normal"/>
              <w:jc w:val="both"/>
              <w:rPr>
                <w:rFonts w:ascii="Calibri" w:hAnsi="Calibri"/>
                <w:sz w:val="22"/>
                <w:szCs w:val="22"/>
                <w:lang w:val="el-GR" w:eastAsia="el-GR"/>
              </w:rPr>
            </w:pPr>
            <w:r>
              <w:rPr>
                <w:rFonts w:ascii="Calibri" w:hAnsi="Calibri"/>
                <w:sz w:val="22"/>
                <w:szCs w:val="22"/>
                <w:lang w:val="el-GR"/>
              </w:rPr>
              <w:t>Το τέλος του Νέου Βασιλείου και η παρακμή της Αιγύπτου. Η Τρίτη Μεταβατική Περίοδος: ιστορικά και αρχαιολογικά προβλήματα</w:t>
            </w:r>
            <w:r>
              <w:rPr>
                <w:rFonts w:ascii="Calibri" w:hAnsi="Calibri"/>
                <w:sz w:val="22"/>
                <w:szCs w:val="22"/>
                <w:lang w:val="el-GR" w:eastAsia="el-GR"/>
              </w:rPr>
              <w:t xml:space="preserve">. </w:t>
            </w:r>
            <w:r>
              <w:rPr>
                <w:rFonts w:ascii="Calibri" w:hAnsi="Calibri"/>
                <w:sz w:val="22"/>
                <w:szCs w:val="22"/>
                <w:lang w:val="el-GR"/>
              </w:rPr>
              <w:t>Η Λιβυκή κατάκτηση και πολυαρχία στο Δέλτα του Νείλου</w:t>
            </w:r>
            <w:r>
              <w:rPr>
                <w:rFonts w:ascii="Calibri" w:hAnsi="Calibri"/>
                <w:sz w:val="22"/>
                <w:szCs w:val="22"/>
                <w:lang w:val="el-GR" w:eastAsia="el-GR"/>
              </w:rPr>
              <w:t xml:space="preserve">. </w:t>
            </w:r>
            <w:r>
              <w:rPr>
                <w:rFonts w:ascii="Calibri" w:hAnsi="Calibri"/>
                <w:sz w:val="22"/>
                <w:szCs w:val="22"/>
                <w:lang w:val="el-GR"/>
              </w:rPr>
              <w:t xml:space="preserve">Οι Κουσίτες στην Αίγυπτο </w:t>
            </w:r>
            <w:r>
              <w:rPr>
                <w:rFonts w:ascii="Calibri" w:hAnsi="Calibri"/>
                <w:sz w:val="22"/>
                <w:szCs w:val="22"/>
                <w:lang w:val="el-GR" w:eastAsia="el-GR"/>
              </w:rPr>
              <w:t xml:space="preserve">. </w:t>
            </w:r>
            <w:r>
              <w:rPr>
                <w:rFonts w:ascii="Calibri" w:hAnsi="Calibri"/>
                <w:sz w:val="22"/>
                <w:szCs w:val="22"/>
                <w:lang w:val="el-GR"/>
              </w:rPr>
              <w:t>Η Σαϊδική αναγέννηση</w:t>
            </w:r>
            <w:r>
              <w:rPr>
                <w:rFonts w:ascii="Calibri" w:hAnsi="Calibri"/>
                <w:sz w:val="22"/>
                <w:szCs w:val="22"/>
                <w:lang w:val="el-GR" w:eastAsia="el-GR"/>
              </w:rPr>
              <w:t xml:space="preserve">. </w:t>
            </w:r>
            <w:r>
              <w:rPr>
                <w:rFonts w:ascii="Calibri" w:hAnsi="Calibri"/>
                <w:sz w:val="22"/>
                <w:szCs w:val="22"/>
              </w:rPr>
              <w:t>Aegyptiaca</w:t>
            </w:r>
            <w:r>
              <w:rPr>
                <w:rFonts w:ascii="Calibri" w:hAnsi="Calibri"/>
                <w:sz w:val="22"/>
                <w:szCs w:val="22"/>
                <w:lang w:val="el-GR"/>
              </w:rPr>
              <w:t>: αιγυπτιακές πολιτισμικές αξίες και στοιχεία λαϊκής λατρείας στην αρχαϊκή Ελλάδα</w:t>
            </w:r>
            <w:r>
              <w:rPr>
                <w:rFonts w:ascii="Calibri" w:hAnsi="Calibri"/>
                <w:sz w:val="22"/>
                <w:szCs w:val="22"/>
                <w:lang w:val="el-GR" w:eastAsia="el-GR"/>
              </w:rPr>
              <w:t xml:space="preserve">. </w:t>
            </w:r>
            <w:r>
              <w:rPr>
                <w:rFonts w:ascii="Calibri" w:hAnsi="Calibri"/>
                <w:sz w:val="22"/>
                <w:szCs w:val="22"/>
                <w:lang w:val="el-GR"/>
              </w:rPr>
              <w:t>Ναύκρατις και οι Έλληνες στην Αίγυπτο</w:t>
            </w:r>
            <w:r>
              <w:rPr>
                <w:rFonts w:ascii="Calibri" w:hAnsi="Calibri"/>
                <w:sz w:val="22"/>
                <w:szCs w:val="22"/>
                <w:lang w:val="el-GR" w:eastAsia="el-GR"/>
              </w:rPr>
              <w:t xml:space="preserve">. </w:t>
            </w:r>
            <w:r>
              <w:rPr>
                <w:rFonts w:ascii="Calibri" w:hAnsi="Calibri"/>
                <w:sz w:val="22"/>
                <w:szCs w:val="22"/>
                <w:lang w:val="el-GR"/>
              </w:rPr>
              <w:t>Πτολεμαϊκή Αίγυπτος: ιστορικό σχεδιάγραμμα, πηγές, προβλήματα</w:t>
            </w:r>
            <w:r>
              <w:rPr>
                <w:rFonts w:ascii="Calibri" w:hAnsi="Calibri"/>
                <w:sz w:val="22"/>
                <w:szCs w:val="22"/>
                <w:lang w:val="el-GR" w:eastAsia="el-GR"/>
              </w:rPr>
              <w:t xml:space="preserve">. </w:t>
            </w:r>
            <w:r>
              <w:rPr>
                <w:rFonts w:ascii="Calibri" w:hAnsi="Calibri"/>
                <w:sz w:val="22"/>
                <w:szCs w:val="22"/>
                <w:lang w:val="el-GR"/>
              </w:rPr>
              <w:t>Αλεξάνδρεια: μια ελληνιστική πρωτεύουσα</w:t>
            </w:r>
            <w:r>
              <w:rPr>
                <w:rFonts w:ascii="Calibri" w:hAnsi="Calibri"/>
                <w:sz w:val="22"/>
                <w:szCs w:val="22"/>
                <w:lang w:val="el-GR" w:eastAsia="el-GR"/>
              </w:rPr>
              <w:t xml:space="preserve">. </w:t>
            </w:r>
            <w:r>
              <w:rPr>
                <w:rFonts w:ascii="Calibri" w:hAnsi="Calibri"/>
                <w:sz w:val="22"/>
                <w:szCs w:val="22"/>
                <w:lang w:val="el-GR"/>
              </w:rPr>
              <w:t>Η αιγυπτιακή κοινωνία κατά την ελληνορωμαϊκή περίοδο: οι μαρτυρίες των παπύρων</w:t>
            </w:r>
            <w:r>
              <w:rPr>
                <w:rFonts w:ascii="Calibri" w:hAnsi="Calibri"/>
                <w:sz w:val="22"/>
                <w:szCs w:val="22"/>
                <w:lang w:val="el-GR" w:eastAsia="el-GR"/>
              </w:rPr>
              <w:t xml:space="preserve">. </w:t>
            </w:r>
            <w:r>
              <w:rPr>
                <w:rFonts w:ascii="Calibri" w:hAnsi="Calibri"/>
                <w:sz w:val="22"/>
                <w:szCs w:val="22"/>
                <w:lang w:val="el-GR"/>
              </w:rPr>
              <w:t>Ναϊκή μνημειακή αρχιτεκτονική της ελληνορωμαϊκής περιόδου: Εντφού, Δενδέρα, Κομ Όμπο, Έσνα, Φίλαι</w:t>
            </w:r>
            <w:r>
              <w:rPr>
                <w:rFonts w:ascii="Calibri" w:hAnsi="Calibri"/>
                <w:sz w:val="22"/>
                <w:szCs w:val="22"/>
                <w:lang w:val="el-GR" w:eastAsia="el-GR"/>
              </w:rPr>
              <w:t xml:space="preserve">. </w:t>
            </w:r>
            <w:r>
              <w:rPr>
                <w:rFonts w:ascii="Calibri" w:hAnsi="Calibri"/>
                <w:sz w:val="22"/>
                <w:szCs w:val="22"/>
                <w:lang w:val="el-GR"/>
              </w:rPr>
              <w:t>Θρησκεία και λατρευτική πρακτική στην ελληνορωμαϊκή Αίγυπτο</w:t>
            </w:r>
            <w:r>
              <w:rPr>
                <w:rFonts w:ascii="Calibri" w:hAnsi="Calibri"/>
                <w:sz w:val="22"/>
                <w:szCs w:val="22"/>
                <w:lang w:val="el-GR" w:eastAsia="el-GR"/>
              </w:rPr>
              <w:t xml:space="preserve">. </w:t>
            </w:r>
            <w:r>
              <w:rPr>
                <w:rFonts w:ascii="Calibri" w:hAnsi="Calibri"/>
                <w:sz w:val="22"/>
                <w:szCs w:val="22"/>
                <w:lang w:val="el-GR"/>
              </w:rPr>
              <w:t>Αιγυπτιακή λογοτεχνία κατά την ελληνορωμαϊκή περίοδο.</w:t>
            </w:r>
          </w:p>
          <w:p>
            <w:pPr>
              <w:pStyle w:val="Normal"/>
              <w:rPr>
                <w:rFonts w:ascii="Calibri" w:hAnsi="Calibri" w:cs="Arial"/>
                <w:sz w:val="22"/>
                <w:szCs w:val="22"/>
                <w:lang w:val="el-GR"/>
              </w:rPr>
            </w:pPr>
            <w:r>
              <w:rPr>
                <w:rFonts w:cs="Arial" w:ascii="Calibri" w:hAnsi="Calibri"/>
                <w:sz w:val="22"/>
                <w:szCs w:val="22"/>
                <w:lang w:val="el-GR"/>
              </w:rPr>
            </w:r>
          </w:p>
        </w:tc>
      </w:tr>
    </w:tbl>
    <w:p>
      <w:pPr>
        <w:pStyle w:val="Normal"/>
        <w:widowControl w:val="false"/>
        <w:spacing w:lineRule="auto" w:line="276" w:before="120" w:after="200"/>
        <w:ind w:left="357" w:hanging="0"/>
        <w:rPr>
          <w:rFonts w:ascii="Calibri" w:hAnsi="Calibri" w:cs="Arial"/>
          <w:b/>
          <w:b/>
          <w:sz w:val="22"/>
          <w:szCs w:val="22"/>
          <w:lang w:val="el-GR"/>
        </w:rPr>
      </w:pPr>
      <w:r>
        <w:rPr>
          <w:rFonts w:cs="Arial" w:ascii="Calibri" w:hAnsi="Calibri"/>
          <w:b/>
          <w:sz w:val="22"/>
          <w:szCs w:val="22"/>
          <w:lang w:val="el-GR"/>
        </w:rPr>
      </w:r>
    </w:p>
    <w:p>
      <w:pPr>
        <w:pStyle w:val="Normal"/>
        <w:rPr>
          <w:rFonts w:ascii="Calibri" w:hAnsi="Calibri" w:cs="Arial"/>
          <w:b/>
          <w:b/>
          <w:sz w:val="22"/>
          <w:szCs w:val="22"/>
          <w:lang w:val="el-GR"/>
        </w:rPr>
      </w:pPr>
      <w:r>
        <w:rPr>
          <w:rFonts w:cs="Arial" w:ascii="Calibri" w:hAnsi="Calibri"/>
          <w:b/>
          <w:sz w:val="22"/>
          <w:szCs w:val="22"/>
          <w:lang w:val="el-GR"/>
        </w:rPr>
      </w:r>
      <w:r>
        <w:br w:type="page"/>
      </w:r>
    </w:p>
    <w:p>
      <w:pPr>
        <w:pStyle w:val="Normal"/>
        <w:widowControl w:val="false"/>
        <w:numPr>
          <w:ilvl w:val="0"/>
          <w:numId w:val="1"/>
        </w:numPr>
        <w:spacing w:lineRule="auto" w:line="276" w:before="120" w:after="200"/>
        <w:ind w:left="357" w:hanging="357"/>
        <w:rPr>
          <w:rFonts w:ascii="Calibri" w:hAnsi="Calibri" w:cs="Arial"/>
          <w:b/>
          <w:b/>
          <w:sz w:val="22"/>
          <w:szCs w:val="22"/>
          <w:lang w:val="el-GR"/>
        </w:rPr>
      </w:pPr>
      <w:r>
        <w:rPr>
          <w:rFonts w:cs="Arial" w:ascii="Calibri" w:hAnsi="Calibri"/>
          <w:b/>
          <w:sz w:val="22"/>
          <w:szCs w:val="22"/>
          <w:lang w:val="el-GR"/>
        </w:rPr>
        <w:t>ΔΙΔΑΚΤΙΚΕΣ και ΜΑΘΗΣΙΑΚΕΣ ΜΕΘΟΔΟΙ - ΑΞΙΟΛΟΓΗΣΗ</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3305"/>
        <w:gridCol w:w="5166"/>
      </w:tblGrid>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ΤΡΟΠΟΣ ΠΑΡΑΔΟΣΗΣ</w:t>
              <w:br/>
            </w:r>
            <w:r>
              <w:rPr>
                <w:rFonts w:cs="Arial" w:ascii="Calibri" w:hAnsi="Calibri"/>
                <w:i/>
                <w:sz w:val="22"/>
                <w:szCs w:val="22"/>
                <w:lang w:val="el-GR"/>
              </w:rPr>
              <w:t>Πρόσωπο με πρόσωπο, Εξ αποστάσεως εκπαίδευση κ.λπ.</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rFonts w:ascii="Calibri" w:hAnsi="Calibri" w:eastAsia="Calibri"/>
                <w:iCs/>
                <w:sz w:val="22"/>
                <w:szCs w:val="22"/>
                <w:lang w:val="el-GR"/>
              </w:rPr>
            </w:pPr>
            <w:r>
              <w:rPr>
                <w:rFonts w:eastAsia="Calibri" w:ascii="Calibri" w:hAnsi="Calibri"/>
                <w:iCs/>
                <w:sz w:val="22"/>
                <w:szCs w:val="22"/>
                <w:lang w:val="el-GR"/>
              </w:rPr>
              <w:t>Πρόσωπο με πρόσωπο</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i/>
                <w:i/>
                <w:sz w:val="22"/>
                <w:szCs w:val="22"/>
                <w:lang w:val="el-GR"/>
              </w:rPr>
            </w:pPr>
            <w:r>
              <w:rPr>
                <w:rFonts w:cs="Arial" w:ascii="Calibri" w:hAnsi="Calibri"/>
                <w:b/>
                <w:sz w:val="22"/>
                <w:szCs w:val="22"/>
                <w:lang w:val="el-GR"/>
              </w:rPr>
              <w:t>ΧΡΗΣΗ ΤΕΧΝΟΛΟΓΙΩΝ ΠΛΗΡΟΦΟΡΙΑΣ ΚΑΙ ΕΠΙΚΟΙΝΩΝΙΩΝ</w:t>
              <w:br/>
            </w:r>
            <w:r>
              <w:rPr>
                <w:rFonts w:cs="Arial" w:ascii="Calibri" w:hAnsi="Calibri"/>
                <w:i/>
                <w:sz w:val="22"/>
                <w:szCs w:val="22"/>
                <w:lang w:val="el-GR"/>
              </w:rPr>
              <w:t>Χρήση Τ.Π.Ε. στη Διδασκαλία, στην Εργαστηριακή Εκπαίδευση, στην Επικοινωνία με τους φοιτητές</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b/>
                <w:b/>
                <w:sz w:val="22"/>
                <w:szCs w:val="22"/>
                <w:lang w:val="el-GR"/>
              </w:rPr>
            </w:pPr>
            <w:r>
              <w:rPr>
                <w:rFonts w:cs="Calibri" w:ascii="Calibri" w:hAnsi="Calibri" w:cstheme="minorHAnsi"/>
                <w:sz w:val="22"/>
                <w:szCs w:val="22"/>
                <w:lang w:val="el-GR"/>
              </w:rPr>
              <w:t xml:space="preserve">Αξιοποίηση ηλ. πλατφόρμας </w:t>
            </w:r>
            <w:r>
              <w:rPr>
                <w:rFonts w:cs="Calibri" w:ascii="Calibri" w:hAnsi="Calibri" w:cstheme="minorHAnsi"/>
                <w:sz w:val="22"/>
                <w:szCs w:val="22"/>
                <w:lang w:val="en-GB"/>
              </w:rPr>
              <w:t>e</w:t>
            </w:r>
            <w:r>
              <w:rPr>
                <w:rFonts w:cs="Calibri" w:ascii="Calibri" w:hAnsi="Calibri" w:cstheme="minorHAnsi"/>
                <w:sz w:val="22"/>
                <w:szCs w:val="22"/>
                <w:lang w:val="el-GR"/>
              </w:rPr>
              <w:t>-</w:t>
            </w:r>
            <w:r>
              <w:rPr>
                <w:rFonts w:cs="Calibri" w:ascii="Calibri" w:hAnsi="Calibri" w:cstheme="minorHAnsi"/>
                <w:sz w:val="22"/>
                <w:szCs w:val="22"/>
                <w:lang w:val="en-GB"/>
              </w:rPr>
              <w:t>class</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ΟΡΓΑΝΩΣΗ ΔΙΔΑΣΚΑΛΙΑΣ</w:t>
            </w:r>
          </w:p>
          <w:p>
            <w:pPr>
              <w:pStyle w:val="Normal"/>
              <w:jc w:val="both"/>
              <w:rPr>
                <w:rFonts w:ascii="Calibri" w:hAnsi="Calibri" w:cs="Arial"/>
                <w:i/>
                <w:i/>
                <w:sz w:val="22"/>
                <w:szCs w:val="22"/>
                <w:lang w:val="el-GR"/>
              </w:rPr>
            </w:pPr>
            <w:r>
              <w:rPr>
                <w:rFonts w:cs="Arial" w:ascii="Calibri" w:hAnsi="Calibri"/>
                <w:i/>
                <w:sz w:val="22"/>
                <w:szCs w:val="22"/>
                <w:lang w:val="el-GR"/>
              </w:rPr>
              <w:t>Περιγράφονται αναλυτικά ο τρόπος και μέθοδοι διδασκαλίας.</w:t>
            </w:r>
          </w:p>
          <w:p>
            <w:pPr>
              <w:pStyle w:val="Normal"/>
              <w:jc w:val="both"/>
              <w:rPr>
                <w:rFonts w:ascii="Calibri" w:hAnsi="Calibri" w:cs="Arial"/>
                <w:i/>
                <w:i/>
                <w:sz w:val="22"/>
                <w:szCs w:val="22"/>
                <w:lang w:val="el-GR"/>
              </w:rPr>
            </w:pPr>
            <w:r>
              <w:rPr>
                <w:rFonts w:cs="Arial" w:ascii="Calibri" w:hAnsi="Calibri"/>
                <w:i/>
                <w:sz w:val="22"/>
                <w:szCs w:val="22"/>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ascii="Calibri" w:hAnsi="Calibri"/>
                <w:i/>
                <w:sz w:val="22"/>
                <w:szCs w:val="22"/>
              </w:rPr>
              <w:t>project</w:t>
            </w:r>
            <w:r>
              <w:rPr>
                <w:rFonts w:cs="Arial" w:ascii="Calibri" w:hAnsi="Calibri"/>
                <w:i/>
                <w:sz w:val="22"/>
                <w:szCs w:val="22"/>
                <w:lang w:val="el-GR"/>
              </w:rPr>
              <w:t>), Συγγραφή εργασίας / εργασιών, Καλλιτεχνική δημιουργία, κ.λπ.</w:t>
            </w:r>
          </w:p>
          <w:p>
            <w:pPr>
              <w:pStyle w:val="Normal"/>
              <w:jc w:val="both"/>
              <w:rPr>
                <w:rFonts w:ascii="Calibri" w:hAnsi="Calibri" w:cs="Arial"/>
                <w:i/>
                <w:i/>
                <w:sz w:val="22"/>
                <w:szCs w:val="22"/>
                <w:lang w:val="el-GR"/>
              </w:rPr>
            </w:pPr>
            <w:r>
              <w:rPr>
                <w:rFonts w:cs="Arial" w:ascii="Calibri" w:hAnsi="Calibri"/>
                <w:i/>
                <w:sz w:val="22"/>
                <w:szCs w:val="22"/>
                <w:lang w:val="el-GR"/>
              </w:rPr>
            </w:r>
          </w:p>
          <w:p>
            <w:pPr>
              <w:pStyle w:val="Normal"/>
              <w:jc w:val="both"/>
              <w:rPr>
                <w:rFonts w:ascii="Calibri" w:hAnsi="Calibri" w:cs="Arial"/>
                <w:i/>
                <w:i/>
                <w:sz w:val="22"/>
                <w:szCs w:val="22"/>
                <w:lang w:val="el-GR"/>
              </w:rPr>
            </w:pPr>
            <w:r>
              <w:rPr>
                <w:rFonts w:cs="Arial" w:ascii="Calibri" w:hAnsi="Calibri"/>
                <w:i/>
                <w:sz w:val="22"/>
                <w:szCs w:val="22"/>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cs="Arial" w:ascii="Calibri" w:hAnsi="Calibri"/>
                <w:i/>
                <w:sz w:val="22"/>
                <w:szCs w:val="22"/>
              </w:rPr>
              <w:t>ECTS</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tbl>
            <w:tblPr>
              <w:tblStyle w:val="TableGrid3"/>
              <w:tblW w:w="4935" w:type="dxa"/>
              <w:jc w:val="left"/>
              <w:tblInd w:w="0" w:type="dxa"/>
              <w:tblCellMar>
                <w:top w:w="0" w:type="dxa"/>
                <w:left w:w="103" w:type="dxa"/>
                <w:bottom w:w="0" w:type="dxa"/>
                <w:right w:w="108" w:type="dxa"/>
              </w:tblCellMar>
              <w:tblLook w:val="04a0" w:noVBand="1" w:noHBand="0" w:lastColumn="0" w:firstColumn="1" w:lastRow="0" w:firstRow="1"/>
            </w:tblPr>
            <w:tblGrid>
              <w:gridCol w:w="2467"/>
              <w:gridCol w:w="2467"/>
            </w:tblGrid>
            <w:tr>
              <w:trPr/>
              <w:tc>
                <w:tcPr>
                  <w:tcW w:w="2467" w:type="dxa"/>
                  <w:tcBorders/>
                  <w:shd w:color="auto" w:fill="DDD9C3" w:themeFill="background2" w:themeFillShade="e6" w:val="clear"/>
                  <w:tcMar>
                    <w:left w:w="103" w:type="dxa"/>
                  </w:tcMar>
                  <w:vAlign w:val="center"/>
                </w:tcPr>
                <w:p>
                  <w:pPr>
                    <w:pStyle w:val="Normal"/>
                    <w:jc w:val="center"/>
                    <w:rPr>
                      <w:rFonts w:ascii="Calibri" w:hAnsi="Calibri" w:cs="Arial"/>
                      <w:b/>
                      <w:b/>
                      <w:i/>
                      <w:i/>
                      <w:sz w:val="22"/>
                      <w:szCs w:val="22"/>
                    </w:rPr>
                  </w:pPr>
                  <w:r>
                    <w:rPr>
                      <w:rFonts w:cs="Arial" w:ascii="Calibri" w:hAnsi="Calibri"/>
                      <w:b/>
                      <w:i/>
                      <w:sz w:val="22"/>
                      <w:szCs w:val="22"/>
                    </w:rPr>
                    <w:t>Δραστηριότητα</w:t>
                  </w:r>
                </w:p>
              </w:tc>
              <w:tc>
                <w:tcPr>
                  <w:tcW w:w="2467" w:type="dxa"/>
                  <w:tcBorders/>
                  <w:shd w:color="auto" w:fill="DDD9C3" w:themeFill="background2" w:themeFillShade="e6" w:val="clear"/>
                  <w:tcMar>
                    <w:left w:w="103" w:type="dxa"/>
                  </w:tcMar>
                  <w:vAlign w:val="center"/>
                </w:tcPr>
                <w:p>
                  <w:pPr>
                    <w:pStyle w:val="Normal"/>
                    <w:jc w:val="center"/>
                    <w:rPr>
                      <w:rFonts w:ascii="Calibri" w:hAnsi="Calibri" w:cs="Arial"/>
                      <w:b/>
                      <w:b/>
                      <w:i/>
                      <w:i/>
                      <w:sz w:val="22"/>
                      <w:szCs w:val="22"/>
                    </w:rPr>
                  </w:pPr>
                  <w:r>
                    <w:rPr>
                      <w:rFonts w:cs="Arial" w:ascii="Calibri" w:hAnsi="Calibri"/>
                      <w:b/>
                      <w:i/>
                      <w:sz w:val="22"/>
                      <w:szCs w:val="22"/>
                    </w:rPr>
                    <w:t>Φόρτος Εργασίας Εξαμήνου</w:t>
                  </w:r>
                </w:p>
              </w:tc>
            </w:tr>
            <w:tr>
              <w:trPr/>
              <w:tc>
                <w:tcPr>
                  <w:tcW w:w="2467" w:type="dxa"/>
                  <w:tcBorders/>
                  <w:shd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Διαλέξεις</w:t>
                  </w:r>
                </w:p>
              </w:tc>
              <w:tc>
                <w:tcPr>
                  <w:tcW w:w="2467" w:type="dxa"/>
                  <w:tcBorders/>
                  <w:shd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39 ώρες (1.56 ECTS)</w:t>
                  </w:r>
                </w:p>
              </w:tc>
            </w:tr>
            <w:tr>
              <w:trPr/>
              <w:tc>
                <w:tcPr>
                  <w:tcW w:w="2467" w:type="dxa"/>
                  <w:tcBorders/>
                  <w:shd w:color="auto"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Προσωπική μελέτη</w:t>
                  </w:r>
                </w:p>
              </w:tc>
              <w:tc>
                <w:tcPr>
                  <w:tcW w:w="2467" w:type="dxa"/>
                  <w:tcBorders/>
                  <w:shd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83 ώρες (3.32 ECTS)</w:t>
                  </w:r>
                </w:p>
              </w:tc>
            </w:tr>
            <w:tr>
              <w:trPr/>
              <w:tc>
                <w:tcPr>
                  <w:tcW w:w="2467" w:type="dxa"/>
                  <w:tcBorders/>
                  <w:shd w:color="auto"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Τελική εξέταση</w:t>
                  </w:r>
                </w:p>
              </w:tc>
              <w:tc>
                <w:tcPr>
                  <w:tcW w:w="2467" w:type="dxa"/>
                  <w:tcBorders/>
                  <w:shd w:fill="auto" w:val="clear"/>
                  <w:tcMar>
                    <w:left w:w="103" w:type="dxa"/>
                  </w:tcMar>
                  <w:vAlign w:val="center"/>
                </w:tcPr>
                <w:p>
                  <w:pPr>
                    <w:pStyle w:val="Normal"/>
                    <w:rPr>
                      <w:rFonts w:ascii="Calibri" w:hAnsi="Calibri"/>
                      <w:sz w:val="22"/>
                      <w:szCs w:val="22"/>
                      <w:lang w:eastAsia="el-GR"/>
                    </w:rPr>
                  </w:pPr>
                  <w:r>
                    <w:rPr>
                      <w:rFonts w:ascii="Calibri" w:hAnsi="Calibri"/>
                      <w:sz w:val="22"/>
                      <w:szCs w:val="22"/>
                      <w:lang w:eastAsia="el-GR"/>
                    </w:rPr>
                    <w:t>3 ώρες (0.12 ECTS)</w:t>
                  </w:r>
                </w:p>
              </w:tc>
            </w:tr>
            <w:tr>
              <w:trPr/>
              <w:tc>
                <w:tcPr>
                  <w:tcW w:w="2467" w:type="dxa"/>
                  <w:tcBorders/>
                  <w:shd w:color="auto" w:fill="auto" w:val="clear"/>
                  <w:tcMar>
                    <w:left w:w="103" w:type="dxa"/>
                  </w:tcMar>
                </w:tcPr>
                <w:p>
                  <w:pPr>
                    <w:pStyle w:val="Normal"/>
                    <w:rPr>
                      <w:rFonts w:ascii="Calibri" w:hAnsi="Calibri"/>
                      <w:iCs/>
                      <w:sz w:val="22"/>
                      <w:szCs w:val="20"/>
                    </w:rPr>
                  </w:pPr>
                  <w:r>
                    <w:rPr>
                      <w:rFonts w:ascii="Calibri" w:hAnsi="Calibri"/>
                      <w:iCs/>
                      <w:sz w:val="22"/>
                      <w:szCs w:val="20"/>
                    </w:rPr>
                  </w:r>
                </w:p>
              </w:tc>
              <w:tc>
                <w:tcPr>
                  <w:tcW w:w="2467" w:type="dxa"/>
                  <w:tcBorders/>
                  <w:shd w:fill="auto" w:val="clear"/>
                  <w:tcMar>
                    <w:left w:w="103" w:type="dxa"/>
                  </w:tcMar>
                </w:tcPr>
                <w:p>
                  <w:pPr>
                    <w:pStyle w:val="Normal"/>
                    <w:jc w:val="center"/>
                    <w:rPr>
                      <w:rFonts w:ascii="Calibri" w:hAnsi="Calibri" w:cs="Arial"/>
                      <w:sz w:val="22"/>
                      <w:szCs w:val="20"/>
                      <w:lang w:val="el-GR"/>
                    </w:rPr>
                  </w:pPr>
                  <w:r>
                    <w:rPr>
                      <w:rFonts w:cs="Arial" w:ascii="Calibri" w:hAnsi="Calibri"/>
                      <w:sz w:val="22"/>
                      <w:szCs w:val="20"/>
                      <w:lang w:val="el-GR"/>
                    </w:rPr>
                  </w:r>
                </w:p>
              </w:tc>
            </w:tr>
            <w:tr>
              <w:trPr/>
              <w:tc>
                <w:tcPr>
                  <w:tcW w:w="2467" w:type="dxa"/>
                  <w:tcBorders/>
                  <w:shd w:color="auto" w:fill="auto" w:val="clear"/>
                  <w:tcMar>
                    <w:left w:w="103" w:type="dxa"/>
                  </w:tcMar>
                </w:tcPr>
                <w:p>
                  <w:pPr>
                    <w:pStyle w:val="Normal"/>
                    <w:rPr>
                      <w:rFonts w:ascii="Calibri" w:hAnsi="Calibri"/>
                      <w:iCs/>
                      <w:sz w:val="22"/>
                      <w:szCs w:val="20"/>
                      <w:lang w:val="el-GR"/>
                    </w:rPr>
                  </w:pPr>
                  <w:r>
                    <w:rPr>
                      <w:rFonts w:ascii="Calibri" w:hAnsi="Calibri"/>
                      <w:iCs/>
                      <w:sz w:val="22"/>
                      <w:szCs w:val="20"/>
                      <w:lang w:val="el-GR"/>
                    </w:rPr>
                  </w:r>
                </w:p>
              </w:tc>
              <w:tc>
                <w:tcPr>
                  <w:tcW w:w="2467" w:type="dxa"/>
                  <w:tcBorders/>
                  <w:shd w:fill="auto" w:val="clear"/>
                  <w:tcMar>
                    <w:left w:w="103" w:type="dxa"/>
                  </w:tcMar>
                </w:tcPr>
                <w:p>
                  <w:pPr>
                    <w:pStyle w:val="Normal"/>
                    <w:jc w:val="center"/>
                    <w:rPr>
                      <w:rFonts w:ascii="Calibri" w:hAnsi="Calibri" w:cs="Arial"/>
                      <w:sz w:val="22"/>
                      <w:szCs w:val="20"/>
                      <w:lang w:val="el-GR"/>
                    </w:rPr>
                  </w:pPr>
                  <w:r>
                    <w:rPr>
                      <w:rFonts w:cs="Arial" w:ascii="Calibri" w:hAnsi="Calibri"/>
                      <w:sz w:val="22"/>
                      <w:szCs w:val="20"/>
                      <w:lang w:val="el-GR"/>
                    </w:rPr>
                  </w:r>
                </w:p>
              </w:tc>
            </w:tr>
            <w:tr>
              <w:trPr/>
              <w:tc>
                <w:tcPr>
                  <w:tcW w:w="2467" w:type="dxa"/>
                  <w:tcBorders/>
                  <w:shd w:color="auto" w:fill="auto" w:val="clear"/>
                  <w:tcMar>
                    <w:left w:w="103" w:type="dxa"/>
                  </w:tcMar>
                </w:tcPr>
                <w:p>
                  <w:pPr>
                    <w:pStyle w:val="Normal"/>
                    <w:rPr>
                      <w:rFonts w:ascii="Calibri" w:hAnsi="Calibri"/>
                      <w:iCs/>
                      <w:sz w:val="22"/>
                      <w:szCs w:val="20"/>
                    </w:rPr>
                  </w:pPr>
                  <w:r>
                    <w:rPr>
                      <w:rFonts w:ascii="Calibri" w:hAnsi="Calibri"/>
                      <w:iCs/>
                      <w:sz w:val="22"/>
                      <w:szCs w:val="20"/>
                    </w:rPr>
                  </w:r>
                </w:p>
              </w:tc>
              <w:tc>
                <w:tcPr>
                  <w:tcW w:w="2467" w:type="dxa"/>
                  <w:tcBorders/>
                  <w:shd w:fill="auto" w:val="clear"/>
                  <w:tcMar>
                    <w:left w:w="103" w:type="dxa"/>
                  </w:tcMar>
                </w:tcPr>
                <w:p>
                  <w:pPr>
                    <w:pStyle w:val="Normal"/>
                    <w:rPr>
                      <w:rFonts w:ascii="Calibri" w:hAnsi="Calibri" w:cs="Arial"/>
                      <w:i/>
                      <w:i/>
                      <w:sz w:val="22"/>
                      <w:szCs w:val="20"/>
                      <w:lang w:val="el-GR"/>
                    </w:rPr>
                  </w:pPr>
                  <w:r>
                    <w:rPr>
                      <w:rFonts w:cs="Arial" w:ascii="Calibri" w:hAnsi="Calibri"/>
                      <w:i/>
                      <w:sz w:val="22"/>
                      <w:szCs w:val="20"/>
                      <w:lang w:val="el-GR"/>
                    </w:rPr>
                  </w:r>
                </w:p>
              </w:tc>
            </w:tr>
            <w:tr>
              <w:trPr/>
              <w:tc>
                <w:tcPr>
                  <w:tcW w:w="2467" w:type="dxa"/>
                  <w:tcBorders/>
                  <w:shd w:color="auto" w:fill="auto" w:val="clear"/>
                  <w:tcMar>
                    <w:left w:w="103" w:type="dxa"/>
                  </w:tcMar>
                </w:tcPr>
                <w:p>
                  <w:pPr>
                    <w:pStyle w:val="Normal"/>
                    <w:rPr>
                      <w:rFonts w:ascii="Calibri" w:hAnsi="Calibri"/>
                      <w:iCs/>
                      <w:sz w:val="22"/>
                      <w:szCs w:val="20"/>
                      <w:lang w:val="el-GR"/>
                    </w:rPr>
                  </w:pPr>
                  <w:r>
                    <w:rPr>
                      <w:rFonts w:ascii="Calibri" w:hAnsi="Calibri"/>
                      <w:iCs/>
                      <w:sz w:val="22"/>
                      <w:szCs w:val="20"/>
                      <w:lang w:val="el-GR"/>
                    </w:rPr>
                  </w:r>
                </w:p>
              </w:tc>
              <w:tc>
                <w:tcPr>
                  <w:tcW w:w="2467" w:type="dxa"/>
                  <w:tcBorders/>
                  <w:shd w:fill="auto" w:val="clear"/>
                  <w:tcMar>
                    <w:left w:w="103" w:type="dxa"/>
                  </w:tcMar>
                </w:tcPr>
                <w:p>
                  <w:pPr>
                    <w:pStyle w:val="Normal"/>
                    <w:rPr>
                      <w:rFonts w:ascii="Calibri" w:hAnsi="Calibri" w:cs="Arial"/>
                      <w:i/>
                      <w:i/>
                      <w:sz w:val="22"/>
                      <w:szCs w:val="20"/>
                      <w:lang w:val="el-GR"/>
                    </w:rPr>
                  </w:pPr>
                  <w:r>
                    <w:rPr>
                      <w:rFonts w:cs="Arial" w:ascii="Calibri" w:hAnsi="Calibri"/>
                      <w:i/>
                      <w:sz w:val="22"/>
                      <w:szCs w:val="20"/>
                      <w:lang w:val="el-GR"/>
                    </w:rPr>
                  </w:r>
                </w:p>
              </w:tc>
            </w:tr>
            <w:tr>
              <w:trPr/>
              <w:tc>
                <w:tcPr>
                  <w:tcW w:w="2467" w:type="dxa"/>
                  <w:tcBorders/>
                  <w:shd w:color="auto" w:fill="auto" w:val="clear"/>
                  <w:tcMar>
                    <w:left w:w="103" w:type="dxa"/>
                  </w:tcMar>
                </w:tcPr>
                <w:p>
                  <w:pPr>
                    <w:pStyle w:val="Normal"/>
                    <w:rPr>
                      <w:rFonts w:ascii="Calibri" w:hAnsi="Calibri"/>
                      <w:iCs/>
                      <w:sz w:val="22"/>
                      <w:szCs w:val="20"/>
                    </w:rPr>
                  </w:pPr>
                  <w:r>
                    <w:rPr>
                      <w:rFonts w:ascii="Calibri" w:hAnsi="Calibri"/>
                      <w:iCs/>
                      <w:sz w:val="22"/>
                      <w:szCs w:val="20"/>
                    </w:rPr>
                  </w:r>
                </w:p>
              </w:tc>
              <w:tc>
                <w:tcPr>
                  <w:tcW w:w="2467" w:type="dxa"/>
                  <w:tcBorders/>
                  <w:shd w:fill="auto" w:val="clear"/>
                  <w:tcMar>
                    <w:left w:w="103" w:type="dxa"/>
                  </w:tcMar>
                </w:tcPr>
                <w:p>
                  <w:pPr>
                    <w:pStyle w:val="Normal"/>
                    <w:rPr>
                      <w:rFonts w:ascii="Calibri" w:hAnsi="Calibri" w:cs="Arial"/>
                      <w:i/>
                      <w:i/>
                      <w:sz w:val="22"/>
                      <w:szCs w:val="20"/>
                      <w:lang w:val="el-GR"/>
                    </w:rPr>
                  </w:pPr>
                  <w:r>
                    <w:rPr>
                      <w:rFonts w:cs="Arial" w:ascii="Calibri" w:hAnsi="Calibri"/>
                      <w:i/>
                      <w:sz w:val="22"/>
                      <w:szCs w:val="20"/>
                      <w:lang w:val="el-GR"/>
                    </w:rPr>
                  </w:r>
                </w:p>
              </w:tc>
            </w:tr>
            <w:tr>
              <w:trPr/>
              <w:tc>
                <w:tcPr>
                  <w:tcW w:w="2467" w:type="dxa"/>
                  <w:tcBorders/>
                  <w:shd w:color="auto" w:fill="auto" w:val="clear"/>
                  <w:tcMar>
                    <w:left w:w="103" w:type="dxa"/>
                  </w:tcMar>
                </w:tcPr>
                <w:p>
                  <w:pPr>
                    <w:pStyle w:val="Normal"/>
                    <w:rPr>
                      <w:rFonts w:ascii="Calibri" w:hAnsi="Calibri"/>
                      <w:iCs/>
                      <w:sz w:val="22"/>
                      <w:szCs w:val="20"/>
                      <w:lang w:val="el-GR"/>
                    </w:rPr>
                  </w:pPr>
                  <w:r>
                    <w:rPr>
                      <w:rFonts w:ascii="Calibri" w:hAnsi="Calibri"/>
                      <w:iCs/>
                      <w:sz w:val="22"/>
                      <w:szCs w:val="20"/>
                      <w:lang w:val="el-GR"/>
                    </w:rPr>
                  </w:r>
                </w:p>
              </w:tc>
              <w:tc>
                <w:tcPr>
                  <w:tcW w:w="2467" w:type="dxa"/>
                  <w:tcBorders/>
                  <w:shd w:fill="auto" w:val="clear"/>
                  <w:tcMar>
                    <w:left w:w="103" w:type="dxa"/>
                  </w:tcMar>
                </w:tcPr>
                <w:p>
                  <w:pPr>
                    <w:pStyle w:val="Normal"/>
                    <w:jc w:val="center"/>
                    <w:rPr>
                      <w:rFonts w:ascii="Calibri" w:hAnsi="Calibri" w:cs="Arial"/>
                      <w:sz w:val="22"/>
                      <w:szCs w:val="20"/>
                      <w:lang w:val="el-GR"/>
                    </w:rPr>
                  </w:pPr>
                  <w:r>
                    <w:rPr>
                      <w:rFonts w:cs="Arial" w:ascii="Calibri" w:hAnsi="Calibri"/>
                      <w:sz w:val="22"/>
                      <w:szCs w:val="20"/>
                      <w:lang w:val="el-GR"/>
                    </w:rPr>
                  </w:r>
                </w:p>
              </w:tc>
            </w:tr>
            <w:tr>
              <w:trPr/>
              <w:tc>
                <w:tcPr>
                  <w:tcW w:w="2467" w:type="dxa"/>
                  <w:tcBorders/>
                  <w:shd w:fill="auto" w:val="clear"/>
                  <w:tcMar>
                    <w:left w:w="103" w:type="dxa"/>
                  </w:tcMar>
                </w:tcPr>
                <w:p>
                  <w:pPr>
                    <w:pStyle w:val="Normal"/>
                    <w:rPr>
                      <w:rFonts w:ascii="Calibri" w:hAnsi="Calibri"/>
                      <w:iCs/>
                      <w:sz w:val="22"/>
                      <w:szCs w:val="22"/>
                      <w:lang w:val="el-GR"/>
                    </w:rPr>
                  </w:pPr>
                  <w:r>
                    <w:rPr>
                      <w:rFonts w:ascii="Calibri" w:hAnsi="Calibri"/>
                      <w:iCs/>
                      <w:sz w:val="22"/>
                      <w:szCs w:val="20"/>
                      <w:lang w:val="el-GR"/>
                    </w:rPr>
                    <w:t>Σύνολο</w:t>
                  </w:r>
                  <w:r>
                    <w:rPr>
                      <w:rFonts w:ascii="Calibri" w:hAnsi="Calibri"/>
                      <w:iCs/>
                      <w:sz w:val="22"/>
                      <w:szCs w:val="20"/>
                    </w:rPr>
                    <w:t xml:space="preserve"> </w:t>
                  </w:r>
                  <w:r>
                    <w:rPr>
                      <w:rFonts w:ascii="Calibri" w:hAnsi="Calibri"/>
                      <w:iCs/>
                      <w:sz w:val="22"/>
                      <w:szCs w:val="20"/>
                      <w:lang w:val="el-GR"/>
                    </w:rPr>
                    <w:t>Μαθήματος</w:t>
                  </w:r>
                </w:p>
              </w:tc>
              <w:tc>
                <w:tcPr>
                  <w:tcW w:w="2467" w:type="dxa"/>
                  <w:tcBorders/>
                  <w:shd w:fill="auto" w:val="clear"/>
                  <w:tcMar>
                    <w:left w:w="103" w:type="dxa"/>
                  </w:tcMar>
                  <w:vAlign w:val="center"/>
                </w:tcPr>
                <w:p>
                  <w:pPr>
                    <w:pStyle w:val="Normal"/>
                    <w:jc w:val="center"/>
                    <w:rPr>
                      <w:rFonts w:ascii="Calibri" w:hAnsi="Calibri" w:cs="Arial"/>
                      <w:b/>
                      <w:b/>
                      <w:i/>
                      <w:i/>
                      <w:sz w:val="22"/>
                      <w:szCs w:val="22"/>
                      <w:lang w:val="el-GR"/>
                    </w:rPr>
                  </w:pPr>
                  <w:r>
                    <w:rPr>
                      <w:rFonts w:ascii="Calibri" w:hAnsi="Calibri"/>
                      <w:b/>
                      <w:bCs/>
                      <w:i/>
                      <w:iCs/>
                      <w:sz w:val="22"/>
                      <w:szCs w:val="22"/>
                      <w:lang w:eastAsia="el-GR"/>
                    </w:rPr>
                    <w:t>125 ώρες (5 ECTS)</w:t>
                  </w:r>
                </w:p>
              </w:tc>
            </w:tr>
          </w:tbl>
          <w:p>
            <w:pPr>
              <w:pStyle w:val="Normal"/>
              <w:rPr>
                <w:rFonts w:ascii="Calibri" w:hAnsi="Calibri" w:cs="Tahoma"/>
                <w:sz w:val="22"/>
                <w:szCs w:val="22"/>
              </w:rPr>
            </w:pPr>
            <w:r>
              <w:rPr>
                <w:rFonts w:cs="Tahoma" w:ascii="Calibri" w:hAnsi="Calibri"/>
                <w:sz w:val="22"/>
                <w:szCs w:val="22"/>
              </w:rPr>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b/>
                <w:b/>
                <w:sz w:val="22"/>
                <w:szCs w:val="22"/>
                <w:lang w:val="el-GR"/>
              </w:rPr>
            </w:pPr>
            <w:r>
              <w:rPr>
                <w:rFonts w:cs="Arial" w:ascii="Calibri" w:hAnsi="Calibri"/>
                <w:b/>
                <w:sz w:val="22"/>
                <w:szCs w:val="22"/>
                <w:lang w:val="el-GR"/>
              </w:rPr>
              <w:t xml:space="preserve">ΑΞΙΟΛΟΓΗΣΗ ΦΟΙΤΗΤΩΝ </w:t>
            </w:r>
          </w:p>
          <w:p>
            <w:pPr>
              <w:pStyle w:val="Normal"/>
              <w:jc w:val="both"/>
              <w:rPr>
                <w:rFonts w:ascii="Calibri" w:hAnsi="Calibri" w:cs="Arial"/>
                <w:i/>
                <w:i/>
                <w:sz w:val="22"/>
                <w:szCs w:val="22"/>
                <w:lang w:val="el-GR"/>
              </w:rPr>
            </w:pPr>
            <w:r>
              <w:rPr>
                <w:rFonts w:cs="Arial" w:ascii="Calibri" w:hAnsi="Calibri"/>
                <w:i/>
                <w:sz w:val="22"/>
                <w:szCs w:val="22"/>
                <w:lang w:val="el-GR"/>
              </w:rPr>
              <w:t>Περιγραφή της διαδικασίας αξιολόγησης</w:t>
            </w:r>
          </w:p>
          <w:p>
            <w:pPr>
              <w:pStyle w:val="Normal"/>
              <w:jc w:val="both"/>
              <w:rPr>
                <w:rFonts w:ascii="Calibri" w:hAnsi="Calibri" w:cs="Arial"/>
                <w:i/>
                <w:i/>
                <w:sz w:val="22"/>
                <w:szCs w:val="22"/>
                <w:lang w:val="el-GR"/>
              </w:rPr>
            </w:pPr>
            <w:r>
              <w:rPr>
                <w:rFonts w:cs="Arial" w:ascii="Calibri" w:hAnsi="Calibri"/>
                <w:i/>
                <w:sz w:val="22"/>
                <w:szCs w:val="22"/>
                <w:lang w:val="el-GR"/>
              </w:rPr>
            </w:r>
          </w:p>
          <w:p>
            <w:pPr>
              <w:pStyle w:val="Normal"/>
              <w:jc w:val="both"/>
              <w:rPr>
                <w:rFonts w:ascii="Calibri" w:hAnsi="Calibri" w:cs="Arial"/>
                <w:i/>
                <w:i/>
                <w:sz w:val="22"/>
                <w:szCs w:val="22"/>
                <w:lang w:val="el-GR"/>
              </w:rPr>
            </w:pPr>
            <w:r>
              <w:rPr>
                <w:rFonts w:cs="Arial" w:ascii="Calibri" w:hAnsi="Calibri"/>
                <w:i/>
                <w:sz w:val="22"/>
                <w:szCs w:val="22"/>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pPr>
              <w:pStyle w:val="Normal"/>
              <w:jc w:val="both"/>
              <w:rPr>
                <w:rFonts w:ascii="Calibri" w:hAnsi="Calibri" w:cs="Arial"/>
                <w:i/>
                <w:i/>
                <w:sz w:val="22"/>
                <w:szCs w:val="22"/>
                <w:lang w:val="el-GR"/>
              </w:rPr>
            </w:pPr>
            <w:r>
              <w:rPr>
                <w:rFonts w:cs="Arial" w:ascii="Calibri" w:hAnsi="Calibri"/>
                <w:i/>
                <w:sz w:val="22"/>
                <w:szCs w:val="22"/>
                <w:lang w:val="el-GR"/>
              </w:rPr>
            </w:r>
          </w:p>
          <w:p>
            <w:pPr>
              <w:pStyle w:val="Normal"/>
              <w:jc w:val="both"/>
              <w:rPr>
                <w:rFonts w:ascii="Calibri" w:hAnsi="Calibri" w:cs="Arial"/>
                <w:i/>
                <w:i/>
                <w:sz w:val="22"/>
                <w:szCs w:val="22"/>
                <w:lang w:val="el-GR"/>
              </w:rPr>
            </w:pPr>
            <w:r>
              <w:rPr>
                <w:rFonts w:cs="Arial" w:ascii="Calibri" w:hAnsi="Calibri"/>
                <w:i/>
                <w:sz w:val="22"/>
                <w:szCs w:val="22"/>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sz w:val="22"/>
                <w:szCs w:val="22"/>
                <w:lang w:val="el-GR"/>
              </w:rPr>
            </w:pPr>
            <w:r>
              <w:rPr>
                <w:rFonts w:cs="Arial" w:ascii="Calibri" w:hAnsi="Calibri"/>
                <w:sz w:val="22"/>
                <w:szCs w:val="22"/>
                <w:lang w:val="el-GR"/>
              </w:rPr>
            </w:r>
          </w:p>
          <w:p>
            <w:pPr>
              <w:pStyle w:val="Normal"/>
              <w:jc w:val="both"/>
              <w:rPr>
                <w:rFonts w:ascii="Calibri" w:hAnsi="Calibri" w:cs="Arial"/>
                <w:sz w:val="22"/>
                <w:szCs w:val="22"/>
                <w:lang w:val="el-GR"/>
              </w:rPr>
            </w:pPr>
            <w:r>
              <w:rPr>
                <w:rFonts w:cs="Arial" w:ascii="Calibri" w:hAnsi="Calibri"/>
                <w:sz w:val="22"/>
                <w:szCs w:val="22"/>
                <w:lang w:val="el-GR"/>
              </w:rPr>
              <w:t>Γλώσσα Αξιολόγησης: Ελληνική</w:t>
            </w:r>
          </w:p>
          <w:p>
            <w:pPr>
              <w:pStyle w:val="Normal"/>
              <w:jc w:val="both"/>
              <w:rPr>
                <w:rFonts w:ascii="Calibri" w:hAnsi="Calibri" w:cs="Arial"/>
                <w:sz w:val="22"/>
                <w:szCs w:val="22"/>
                <w:lang w:val="el-GR"/>
              </w:rPr>
            </w:pPr>
            <w:r>
              <w:rPr>
                <w:rFonts w:cs="Arial" w:ascii="Calibri" w:hAnsi="Calibri"/>
                <w:sz w:val="22"/>
                <w:szCs w:val="22"/>
                <w:lang w:val="el-GR"/>
              </w:rPr>
            </w:r>
          </w:p>
          <w:p>
            <w:pPr>
              <w:pStyle w:val="Normal"/>
              <w:rPr>
                <w:rFonts w:ascii="Calibri" w:hAnsi="Calibri" w:cs="Calibri" w:cstheme="minorHAnsi"/>
                <w:sz w:val="22"/>
                <w:szCs w:val="22"/>
                <w:lang w:val="el-GR"/>
              </w:rPr>
            </w:pPr>
            <w:r>
              <w:rPr>
                <w:rFonts w:cs="Calibri" w:ascii="Calibri" w:hAnsi="Calibri" w:cstheme="minorHAnsi"/>
                <w:sz w:val="22"/>
                <w:szCs w:val="22"/>
                <w:lang w:val="el-GR"/>
              </w:rPr>
              <w:t>Διαμορφωτική αξιολόγηση:</w:t>
            </w:r>
          </w:p>
          <w:p>
            <w:pPr>
              <w:pStyle w:val="Normal"/>
              <w:rPr>
                <w:rFonts w:ascii="Calibri" w:hAnsi="Calibri" w:cs="Calibri" w:cstheme="minorHAnsi"/>
                <w:sz w:val="22"/>
                <w:szCs w:val="22"/>
                <w:lang w:val="el-GR"/>
              </w:rPr>
            </w:pPr>
            <w:r>
              <w:rPr>
                <w:rFonts w:cs="Calibri" w:ascii="Calibri" w:hAnsi="Calibri" w:cstheme="minorHAnsi"/>
                <w:sz w:val="22"/>
                <w:szCs w:val="22"/>
                <w:lang w:val="el-GR"/>
              </w:rPr>
              <w:t>Γραπτή εργασία</w:t>
            </w:r>
          </w:p>
          <w:p>
            <w:pPr>
              <w:pStyle w:val="Normal"/>
              <w:rPr>
                <w:rFonts w:ascii="Calibri" w:hAnsi="Calibri" w:cs="Calibri" w:cstheme="minorHAnsi"/>
                <w:sz w:val="22"/>
                <w:szCs w:val="22"/>
                <w:lang w:val="el-GR"/>
              </w:rPr>
            </w:pPr>
            <w:r>
              <w:rPr>
                <w:rFonts w:cs="Calibri" w:ascii="Calibri" w:hAnsi="Calibri" w:cstheme="minorHAnsi"/>
                <w:sz w:val="22"/>
                <w:szCs w:val="22"/>
                <w:lang w:val="el-GR"/>
              </w:rPr>
              <w:t>Ερωτήσεις Σύντομης Απάντησης</w:t>
            </w:r>
          </w:p>
          <w:p>
            <w:pPr>
              <w:pStyle w:val="Normal"/>
              <w:rPr>
                <w:rFonts w:ascii="Calibri" w:hAnsi="Calibri" w:cs="Calibri" w:cstheme="minorHAnsi"/>
                <w:sz w:val="22"/>
                <w:szCs w:val="22"/>
                <w:lang w:val="el-GR"/>
              </w:rPr>
            </w:pPr>
            <w:r>
              <w:rPr>
                <w:rFonts w:cs="Calibri" w:ascii="Calibri" w:hAnsi="Calibri" w:cstheme="minorHAnsi"/>
                <w:sz w:val="22"/>
                <w:szCs w:val="22"/>
                <w:lang w:val="el-GR"/>
              </w:rPr>
              <w:t>Προφορική εξέταση</w:t>
            </w:r>
          </w:p>
          <w:p>
            <w:pPr>
              <w:pStyle w:val="Normal"/>
              <w:jc w:val="both"/>
              <w:rPr>
                <w:rFonts w:ascii="Calibri" w:hAnsi="Calibri" w:cs="Arial"/>
                <w:sz w:val="22"/>
                <w:szCs w:val="22"/>
                <w:lang w:val="el-GR"/>
              </w:rPr>
            </w:pPr>
            <w:r>
              <w:rPr>
                <w:rFonts w:cs="Arial" w:ascii="Calibri" w:hAnsi="Calibri"/>
                <w:sz w:val="22"/>
                <w:szCs w:val="22"/>
                <w:lang w:val="el-GR"/>
              </w:rPr>
            </w:r>
          </w:p>
          <w:p>
            <w:pPr>
              <w:pStyle w:val="Normal"/>
              <w:jc w:val="both"/>
              <w:rPr>
                <w:rFonts w:ascii="Calibri" w:hAnsi="Calibri" w:cs="Arial"/>
                <w:sz w:val="22"/>
                <w:szCs w:val="22"/>
                <w:lang w:val="el-GR"/>
              </w:rPr>
            </w:pPr>
            <w:r>
              <w:rPr>
                <w:rFonts w:cs="Calibri" w:ascii="Calibri" w:hAnsi="Calibri" w:cstheme="minorHAnsi"/>
                <w:sz w:val="22"/>
                <w:szCs w:val="22"/>
                <w:lang w:val="el-GR"/>
              </w:rPr>
              <w:t xml:space="preserve">Η διαδικασία αξιολόγησης καταγράφεται στην  ηλ. πλατφόρμα </w:t>
            </w:r>
            <w:r>
              <w:rPr>
                <w:rFonts w:cs="Calibri" w:ascii="Calibri" w:hAnsi="Calibri" w:cstheme="minorHAnsi"/>
                <w:sz w:val="22"/>
                <w:szCs w:val="22"/>
                <w:lang w:val="fr-FR"/>
              </w:rPr>
              <w:t>e-class</w:t>
            </w:r>
          </w:p>
          <w:p>
            <w:pPr>
              <w:pStyle w:val="Normal"/>
              <w:rPr>
                <w:rFonts w:ascii="Calibri" w:hAnsi="Calibri" w:cs="Arial"/>
                <w:sz w:val="22"/>
                <w:szCs w:val="22"/>
                <w:lang w:val="el-GR"/>
              </w:rPr>
            </w:pPr>
            <w:r>
              <w:rPr>
                <w:rFonts w:cs="Arial" w:ascii="Calibri" w:hAnsi="Calibri"/>
                <w:sz w:val="22"/>
                <w:szCs w:val="22"/>
                <w:lang w:val="el-GR"/>
              </w:rPr>
            </w:r>
          </w:p>
          <w:p>
            <w:pPr>
              <w:pStyle w:val="Normal"/>
              <w:rPr>
                <w:rFonts w:ascii="Calibri" w:hAnsi="Calibri" w:cs="Arial"/>
                <w:sz w:val="22"/>
                <w:szCs w:val="22"/>
                <w:lang w:val="el-GR"/>
              </w:rPr>
            </w:pPr>
            <w:r>
              <w:rPr>
                <w:rFonts w:cs="Arial" w:ascii="Calibri" w:hAnsi="Calibri"/>
                <w:sz w:val="22"/>
                <w:szCs w:val="22"/>
                <w:lang w:val="el-GR"/>
              </w:rPr>
            </w:r>
          </w:p>
        </w:tc>
      </w:tr>
    </w:tbl>
    <w:p>
      <w:pPr>
        <w:pStyle w:val="Normal"/>
        <w:widowControl w:val="false"/>
        <w:numPr>
          <w:ilvl w:val="0"/>
          <w:numId w:val="1"/>
        </w:numPr>
        <w:spacing w:lineRule="auto" w:line="276" w:before="240" w:after="200"/>
        <w:ind w:left="357" w:hanging="357"/>
        <w:rPr>
          <w:rFonts w:ascii="Calibri" w:hAnsi="Calibri" w:cs="Arial"/>
          <w:b/>
          <w:b/>
          <w:sz w:val="22"/>
          <w:szCs w:val="22"/>
        </w:rPr>
      </w:pPr>
      <w:r>
        <w:rPr>
          <w:rFonts w:cs="Arial" w:ascii="Calibri" w:hAnsi="Calibri"/>
          <w:b/>
          <w:sz w:val="22"/>
          <w:szCs w:val="22"/>
          <w:lang w:val="el-GR"/>
        </w:rPr>
        <w:t>ΣΥΝΙΣΤΩΜΕΝΗ</w:t>
      </w:r>
      <w:r>
        <w:rPr>
          <w:rFonts w:cs="Arial" w:ascii="Calibri" w:hAnsi="Calibri"/>
          <w:b/>
          <w:sz w:val="22"/>
          <w:szCs w:val="22"/>
        </w:rPr>
        <w:t>-ΒΙΒΛΙΟΓΡΑΦΙΑ</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hanging="0"/>
              <w:jc w:val="both"/>
              <w:rPr/>
            </w:pPr>
            <w:r>
              <w:rPr>
                <w:rFonts w:cs="Arial"/>
                <w:i/>
              </w:rPr>
              <w:t>- Προτεινόμενη Βιβλιογραφία:</w:t>
            </w:r>
            <w:r>
              <w:rPr/>
              <w:t xml:space="preserve"> </w:t>
            </w:r>
          </w:p>
          <w:p>
            <w:pPr>
              <w:pStyle w:val="ListParagraph"/>
              <w:ind w:left="0" w:hanging="0"/>
              <w:jc w:val="both"/>
              <w:rPr>
                <w:rFonts w:cs="Arial"/>
                <w:i/>
                <w:i/>
                <w:lang w:val="en-US"/>
              </w:rPr>
            </w:pPr>
            <w:r>
              <w:rPr>
                <w:rFonts w:cs="Arial"/>
                <w:i/>
                <w:lang w:val="en-US"/>
              </w:rPr>
            </w:r>
          </w:p>
          <w:p>
            <w:pPr>
              <w:pStyle w:val="ListParagraph"/>
              <w:numPr>
                <w:ilvl w:val="0"/>
                <w:numId w:val="4"/>
              </w:numPr>
              <w:jc w:val="both"/>
              <w:rPr>
                <w:lang w:val="en-US"/>
              </w:rPr>
            </w:pPr>
            <w:r>
              <w:rPr>
                <w:lang w:val="en-US"/>
              </w:rPr>
              <w:t xml:space="preserve">Ashton, </w:t>
            </w:r>
            <w:r>
              <w:rPr>
                <w:lang w:val="en-GB"/>
              </w:rPr>
              <w:t xml:space="preserve">S. (2001), </w:t>
            </w:r>
            <w:r>
              <w:rPr>
                <w:i/>
                <w:lang w:val="en-US"/>
              </w:rPr>
              <w:t>Ptolemaic Royal Sculpture from Egypt: the Interaction between Greek and Egyptian Traditions</w:t>
            </w:r>
            <w:r>
              <w:rPr>
                <w:lang w:val="en-US"/>
              </w:rPr>
              <w:t>, Oxford</w:t>
            </w:r>
          </w:p>
          <w:p>
            <w:pPr>
              <w:pStyle w:val="ListParagraph"/>
              <w:numPr>
                <w:ilvl w:val="0"/>
                <w:numId w:val="4"/>
              </w:numPr>
              <w:jc w:val="both"/>
              <w:rPr>
                <w:lang w:val="en-US"/>
              </w:rPr>
            </w:pPr>
            <w:r>
              <w:rPr>
                <w:lang w:val="en-US"/>
              </w:rPr>
              <w:t xml:space="preserve">Bagnall, R. (2007), </w:t>
            </w:r>
            <w:r>
              <w:rPr>
                <w:i/>
                <w:lang w:val="en-US"/>
              </w:rPr>
              <w:t>Hellenistic Egypt: Monarchy, Society, Economy, Culture</w:t>
            </w:r>
            <w:r>
              <w:rPr>
                <w:lang w:val="en-US"/>
              </w:rPr>
              <w:t>, Edinburgh</w:t>
            </w:r>
          </w:p>
          <w:p>
            <w:pPr>
              <w:pStyle w:val="ListParagraph"/>
              <w:numPr>
                <w:ilvl w:val="0"/>
                <w:numId w:val="4"/>
              </w:numPr>
              <w:jc w:val="both"/>
              <w:rPr>
                <w:lang w:val="en-US"/>
              </w:rPr>
            </w:pPr>
            <w:r>
              <w:rPr>
                <w:lang w:val="en-US" w:eastAsia="el-GR"/>
              </w:rPr>
              <w:t>Finnestad, Β.</w:t>
            </w:r>
            <w:r>
              <w:rPr>
                <w:lang w:val="en-GB" w:eastAsia="el-GR"/>
              </w:rPr>
              <w:t xml:space="preserve">R. (1997), </w:t>
            </w:r>
            <w:r>
              <w:rPr>
                <w:lang w:val="en-US" w:eastAsia="el-GR"/>
              </w:rPr>
              <w:t xml:space="preserve">‘Temples of the Ptolemaic and Roman periods: Ancient traditions in new contexts’ </w:t>
            </w:r>
            <w:r>
              <w:rPr>
                <w:rFonts w:eastAsia="TimesNewRoman" w:cs="TimesNewRoman"/>
                <w:lang w:eastAsia="el-GR"/>
              </w:rPr>
              <w:t>στο</w:t>
            </w:r>
            <w:r>
              <w:rPr>
                <w:rFonts w:eastAsia="TimesNewRoman" w:cs="TimesNewRoman"/>
                <w:lang w:val="en-US" w:eastAsia="el-GR"/>
              </w:rPr>
              <w:t xml:space="preserve"> </w:t>
            </w:r>
            <w:r>
              <w:rPr>
                <w:lang w:val="en-US" w:eastAsia="el-GR"/>
              </w:rPr>
              <w:t>B. E. Shafer (</w:t>
            </w:r>
            <w:r>
              <w:rPr>
                <w:rFonts w:eastAsia="TimesNewRoman" w:cs="TimesNewRoman"/>
                <w:lang w:eastAsia="el-GR"/>
              </w:rPr>
              <w:t>επιμ</w:t>
            </w:r>
            <w:r>
              <w:rPr>
                <w:lang w:val="en-US" w:eastAsia="el-GR"/>
              </w:rPr>
              <w:t xml:space="preserve">.), </w:t>
            </w:r>
            <w:r>
              <w:rPr>
                <w:i/>
                <w:iCs/>
                <w:lang w:val="en-US" w:eastAsia="el-GR"/>
              </w:rPr>
              <w:t>Temples of Ancient Egypt</w:t>
            </w:r>
            <w:r>
              <w:rPr>
                <w:lang w:val="en-US" w:eastAsia="el-GR"/>
              </w:rPr>
              <w:t xml:space="preserve">, Ithaca NY, 1997, </w:t>
            </w:r>
            <w:r>
              <w:rPr>
                <w:rFonts w:eastAsia="TimesNewRoman" w:cs="TimesNewRoman"/>
                <w:lang w:eastAsia="el-GR"/>
              </w:rPr>
              <w:t>σελ</w:t>
            </w:r>
            <w:r>
              <w:rPr>
                <w:lang w:val="en-US" w:eastAsia="el-GR"/>
              </w:rPr>
              <w:t>. 185-317</w:t>
            </w:r>
          </w:p>
          <w:p>
            <w:pPr>
              <w:pStyle w:val="ListParagraph"/>
              <w:numPr>
                <w:ilvl w:val="0"/>
                <w:numId w:val="4"/>
              </w:numPr>
              <w:jc w:val="both"/>
              <w:rPr>
                <w:lang w:val="en-US"/>
              </w:rPr>
            </w:pPr>
            <w:r>
              <w:rPr>
                <w:lang w:val="en-US"/>
              </w:rPr>
              <w:t xml:space="preserve">Frankfurter, D. (1998), </w:t>
            </w:r>
            <w:r>
              <w:rPr>
                <w:i/>
                <w:lang w:val="en-US"/>
              </w:rPr>
              <w:t>Religion in Roman Egypt: Assimilation and Resistance</w:t>
            </w:r>
            <w:r>
              <w:rPr>
                <w:lang w:val="en-US"/>
              </w:rPr>
              <w:t>, Princeton</w:t>
            </w:r>
          </w:p>
          <w:p>
            <w:pPr>
              <w:pStyle w:val="ListParagraph"/>
              <w:numPr>
                <w:ilvl w:val="0"/>
                <w:numId w:val="4"/>
              </w:numPr>
              <w:jc w:val="both"/>
              <w:rPr/>
            </w:pPr>
            <w:r>
              <w:rPr/>
              <w:t xml:space="preserve">Gehrke, H. J., </w:t>
            </w:r>
            <w:r>
              <w:rPr>
                <w:i/>
              </w:rPr>
              <w:t>Ιστορία του Ελληνιστικού Κόσμου</w:t>
            </w:r>
            <w:r>
              <w:rPr/>
              <w:t xml:space="preserve"> [μετάφραση Ά. Χανιώτης]. Αθήνα: Μορφωτικό Ίδρυμα Εθνικής Τραπέζης, 2003</w:t>
            </w:r>
          </w:p>
          <w:p>
            <w:pPr>
              <w:pStyle w:val="ListParagraph"/>
              <w:numPr>
                <w:ilvl w:val="0"/>
                <w:numId w:val="4"/>
              </w:numPr>
              <w:jc w:val="both"/>
              <w:rPr>
                <w:lang w:val="en-US"/>
              </w:rPr>
            </w:pPr>
            <w:r>
              <w:rPr>
                <w:lang w:val="en-US"/>
              </w:rPr>
              <w:t xml:space="preserve">Harris, W. (2004), </w:t>
            </w:r>
            <w:r>
              <w:rPr>
                <w:i/>
                <w:lang w:val="en-US"/>
              </w:rPr>
              <w:t>Ancient Alexandria: between Egypt and Greece</w:t>
            </w:r>
            <w:r>
              <w:rPr>
                <w:lang w:val="en-US"/>
              </w:rPr>
              <w:t>, Leiden</w:t>
            </w:r>
          </w:p>
          <w:p>
            <w:pPr>
              <w:pStyle w:val="ListParagraph"/>
              <w:numPr>
                <w:ilvl w:val="0"/>
                <w:numId w:val="4"/>
              </w:numPr>
              <w:jc w:val="both"/>
              <w:rPr>
                <w:lang w:val="en-US"/>
              </w:rPr>
            </w:pPr>
            <w:r>
              <w:rPr>
                <w:lang w:val="en-US"/>
              </w:rPr>
              <w:t xml:space="preserve">Hoelbl, G. (2001), </w:t>
            </w:r>
            <w:r>
              <w:rPr>
                <w:i/>
                <w:lang w:val="en-US"/>
              </w:rPr>
              <w:t>A History of the Ptolemaic Empire</w:t>
            </w:r>
            <w:r>
              <w:rPr>
                <w:lang w:val="en-US"/>
              </w:rPr>
              <w:t>, London</w:t>
            </w:r>
          </w:p>
          <w:p>
            <w:pPr>
              <w:pStyle w:val="ListParagraph"/>
              <w:numPr>
                <w:ilvl w:val="0"/>
                <w:numId w:val="4"/>
              </w:numPr>
              <w:jc w:val="both"/>
              <w:rPr>
                <w:lang w:val="en-US"/>
              </w:rPr>
            </w:pPr>
            <w:r>
              <w:rPr>
                <w:lang w:val="en-US"/>
              </w:rPr>
              <w:t xml:space="preserve">Moyer, I. (2011), </w:t>
            </w:r>
            <w:r>
              <w:rPr>
                <w:i/>
                <w:lang w:val="en-US"/>
              </w:rPr>
              <w:t>Egypt and the Limits of Hellenism</w:t>
            </w:r>
            <w:r>
              <w:rPr>
                <w:lang w:val="en-US"/>
              </w:rPr>
              <w:t>, Cambridge, 2011</w:t>
            </w:r>
          </w:p>
          <w:p>
            <w:pPr>
              <w:pStyle w:val="ListParagraph"/>
              <w:numPr>
                <w:ilvl w:val="0"/>
                <w:numId w:val="4"/>
              </w:numPr>
              <w:jc w:val="both"/>
              <w:rPr>
                <w:lang w:val="en-US"/>
              </w:rPr>
            </w:pPr>
            <w:r>
              <w:rPr>
                <w:lang w:val="en-US"/>
              </w:rPr>
              <w:t xml:space="preserve">Mysliwiec, K. (2000), </w:t>
            </w:r>
            <w:r>
              <w:rPr>
                <w:i/>
                <w:lang w:val="en-US"/>
              </w:rPr>
              <w:t>The Twilight of Ancient Egypt: First Millennium BCE</w:t>
            </w:r>
            <w:r>
              <w:rPr>
                <w:lang w:val="en-US"/>
              </w:rPr>
              <w:t>, Ithaca/New York</w:t>
            </w:r>
          </w:p>
          <w:p>
            <w:pPr>
              <w:pStyle w:val="ListParagraph"/>
              <w:numPr>
                <w:ilvl w:val="0"/>
                <w:numId w:val="4"/>
              </w:numPr>
              <w:jc w:val="both"/>
              <w:rPr/>
            </w:pPr>
            <w:r>
              <w:rPr>
                <w:lang w:eastAsia="el-GR"/>
              </w:rPr>
              <w:t xml:space="preserve">Παχής, Π. (2010), </w:t>
            </w:r>
            <w:r>
              <w:rPr>
                <w:rFonts w:eastAsia="TimesNewRoman,Italic" w:cs="TimesNewRoman,Italic"/>
                <w:i/>
                <w:iCs/>
                <w:lang w:eastAsia="el-GR"/>
              </w:rPr>
              <w:t>Οι Ανατολικές Λατρείες της Ελληνορωμαϊκής Εποχής</w:t>
            </w:r>
            <w:r>
              <w:rPr>
                <w:rFonts w:eastAsia="TimesNewRoman,Italic"/>
                <w:i/>
                <w:iCs/>
                <w:lang w:eastAsia="el-GR"/>
              </w:rPr>
              <w:t xml:space="preserve">: </w:t>
            </w:r>
            <w:r>
              <w:rPr>
                <w:rFonts w:eastAsia="TimesNewRoman,Italic" w:cs="TimesNewRoman,Italic"/>
                <w:i/>
                <w:iCs/>
                <w:lang w:eastAsia="el-GR"/>
              </w:rPr>
              <w:t>Συμβολή στην Ιστορία και τη Μεθοδολογία της Έρευνας</w:t>
            </w:r>
            <w:r>
              <w:rPr>
                <w:rFonts w:eastAsia="TimesNewRoman,Italic"/>
                <w:lang w:eastAsia="el-GR"/>
              </w:rPr>
              <w:t xml:space="preserve">, </w:t>
            </w:r>
            <w:r>
              <w:rPr>
                <w:rFonts w:eastAsia="TimesNewRoman" w:cs="TimesNewRoman"/>
                <w:lang w:eastAsia="el-GR"/>
              </w:rPr>
              <w:t>Θεσσαλονίκη</w:t>
            </w:r>
          </w:p>
          <w:p>
            <w:pPr>
              <w:pStyle w:val="ListParagraph"/>
              <w:numPr>
                <w:ilvl w:val="0"/>
                <w:numId w:val="4"/>
              </w:numPr>
              <w:jc w:val="both"/>
              <w:rPr/>
            </w:pPr>
            <w:r>
              <w:rPr>
                <w:lang w:eastAsia="el-GR"/>
              </w:rPr>
              <w:t xml:space="preserve">Παχής, Π. (2010), </w:t>
            </w:r>
            <w:r>
              <w:rPr>
                <w:rFonts w:eastAsia="TimesNewRoman,Italic" w:cs="TimesNewRoman,Italic"/>
                <w:i/>
                <w:iCs/>
                <w:lang w:eastAsia="el-GR"/>
              </w:rPr>
              <w:t>Η Λατρεία της Ίσιδας και του Σάραπι</w:t>
            </w:r>
            <w:r>
              <w:rPr>
                <w:rFonts w:eastAsia="TimesNewRoman,Italic"/>
                <w:i/>
                <w:iCs/>
                <w:lang w:eastAsia="el-GR"/>
              </w:rPr>
              <w:t xml:space="preserve">: </w:t>
            </w:r>
            <w:r>
              <w:rPr>
                <w:rFonts w:eastAsia="TimesNewRoman,Italic" w:cs="TimesNewRoman,Italic"/>
                <w:i/>
                <w:iCs/>
                <w:lang w:eastAsia="el-GR"/>
              </w:rPr>
              <w:t>Από την Τοπική στην Οικουμενική Κοινωνία</w:t>
            </w:r>
            <w:r>
              <w:rPr>
                <w:rFonts w:eastAsia="TimesNewRoman,Italic"/>
                <w:lang w:eastAsia="el-GR"/>
              </w:rPr>
              <w:t xml:space="preserve">, </w:t>
            </w:r>
            <w:r>
              <w:rPr>
                <w:rFonts w:eastAsia="TimesNewRoman" w:cs="TimesNewRoman"/>
                <w:lang w:eastAsia="el-GR"/>
              </w:rPr>
              <w:t>Θεσσαλονίκη</w:t>
            </w:r>
          </w:p>
          <w:p>
            <w:pPr>
              <w:pStyle w:val="ListParagraph"/>
              <w:numPr>
                <w:ilvl w:val="0"/>
                <w:numId w:val="4"/>
              </w:numPr>
              <w:jc w:val="both"/>
              <w:rPr>
                <w:lang w:val="en-US"/>
              </w:rPr>
            </w:pPr>
            <w:r>
              <w:rPr>
                <w:lang w:val="en-US"/>
              </w:rPr>
              <w:t xml:space="preserve">Riggs, C. (2005), </w:t>
            </w:r>
            <w:r>
              <w:rPr>
                <w:i/>
                <w:lang w:val="en-US"/>
              </w:rPr>
              <w:t>The Beautiful Burial in Roman Egypt: Art, Identity and Funerary Religion</w:t>
            </w:r>
            <w:r>
              <w:rPr>
                <w:lang w:val="en-US"/>
              </w:rPr>
              <w:t xml:space="preserve">, Oxford </w:t>
            </w:r>
          </w:p>
          <w:p>
            <w:pPr>
              <w:pStyle w:val="ListParagraph"/>
              <w:numPr>
                <w:ilvl w:val="0"/>
                <w:numId w:val="4"/>
              </w:numPr>
              <w:jc w:val="both"/>
              <w:rPr/>
            </w:pPr>
            <w:r>
              <w:rPr>
                <w:rFonts w:eastAsia="TimesNewRoman" w:cs="TimesNewRoman"/>
                <w:lang w:eastAsia="el-GR"/>
              </w:rPr>
              <w:t>Σαρίσχουλη,</w:t>
            </w:r>
            <w:r>
              <w:rPr>
                <w:rFonts w:eastAsia="TimesNewRoman"/>
                <w:lang w:eastAsia="el-GR"/>
              </w:rPr>
              <w:t xml:space="preserve"> Π. (2011), </w:t>
            </w:r>
            <w:r>
              <w:rPr>
                <w:rFonts w:eastAsia="TimesNewRoman,Italic" w:cs="TimesNewRoman,Italic"/>
                <w:i/>
                <w:iCs/>
                <w:lang w:eastAsia="el-GR"/>
              </w:rPr>
              <w:t>Πλουτάρχου Περί Ίσιδος και Οσίριδος</w:t>
            </w:r>
            <w:r>
              <w:rPr>
                <w:rFonts w:eastAsia="TimesNewRoman"/>
                <w:i/>
                <w:iCs/>
                <w:lang w:eastAsia="el-GR"/>
              </w:rPr>
              <w:t xml:space="preserve">: </w:t>
            </w:r>
            <w:r>
              <w:rPr>
                <w:rFonts w:eastAsia="TimesNewRoman,Italic" w:cs="TimesNewRoman,Italic"/>
                <w:i/>
                <w:iCs/>
                <w:lang w:eastAsia="el-GR"/>
              </w:rPr>
              <w:t>Ο Μύθος</w:t>
            </w:r>
            <w:r>
              <w:rPr>
                <w:rFonts w:eastAsia="TimesNewRoman"/>
                <w:lang w:eastAsia="el-GR"/>
              </w:rPr>
              <w:t xml:space="preserve">, </w:t>
            </w:r>
            <w:r>
              <w:rPr>
                <w:rFonts w:eastAsia="TimesNewRoman" w:cs="TimesNewRoman"/>
                <w:lang w:eastAsia="el-GR"/>
              </w:rPr>
              <w:t>Θεσσαλονίκη</w:t>
            </w:r>
          </w:p>
          <w:p>
            <w:pPr>
              <w:pStyle w:val="ListParagraph"/>
              <w:numPr>
                <w:ilvl w:val="0"/>
                <w:numId w:val="4"/>
              </w:numPr>
              <w:jc w:val="both"/>
              <w:rPr>
                <w:lang w:val="en-US"/>
              </w:rPr>
            </w:pPr>
            <w:r>
              <w:rPr>
                <w:lang w:val="en-US"/>
              </w:rPr>
              <w:t xml:space="preserve">Stanwick, P.E. (2002), </w:t>
            </w:r>
            <w:r>
              <w:rPr>
                <w:i/>
                <w:lang w:val="en-US"/>
              </w:rPr>
              <w:t>Portraits of the Ptolemies</w:t>
            </w:r>
            <w:r>
              <w:rPr>
                <w:lang w:val="en-US"/>
              </w:rPr>
              <w:t>, Austin</w:t>
            </w:r>
          </w:p>
          <w:p>
            <w:pPr>
              <w:pStyle w:val="Normal"/>
              <w:jc w:val="both"/>
              <w:rPr>
                <w:rFonts w:ascii="Calibri" w:hAnsi="Calibri" w:cs="Arial"/>
                <w:i/>
                <w:i/>
                <w:sz w:val="22"/>
                <w:szCs w:val="22"/>
              </w:rPr>
            </w:pPr>
            <w:r>
              <w:rPr>
                <w:rFonts w:cs="Arial" w:ascii="Calibri" w:hAnsi="Calibri"/>
                <w:i/>
                <w:sz w:val="22"/>
                <w:szCs w:val="22"/>
              </w:rPr>
            </w:r>
          </w:p>
          <w:p>
            <w:pPr>
              <w:pStyle w:val="Normal"/>
              <w:jc w:val="both"/>
              <w:rPr>
                <w:rFonts w:ascii="Calibri" w:hAnsi="Calibri" w:cs="Arial"/>
                <w:i/>
                <w:i/>
                <w:sz w:val="22"/>
                <w:szCs w:val="22"/>
              </w:rPr>
            </w:pPr>
            <w:r>
              <w:rPr>
                <w:rFonts w:cs="Arial" w:ascii="Calibri" w:hAnsi="Calibri"/>
                <w:i/>
                <w:sz w:val="22"/>
                <w:szCs w:val="22"/>
              </w:rPr>
              <w:t xml:space="preserve">- </w:t>
            </w:r>
            <w:r>
              <w:rPr>
                <w:rFonts w:cs="Arial" w:ascii="Calibri" w:hAnsi="Calibri"/>
                <w:i/>
                <w:sz w:val="22"/>
                <w:szCs w:val="22"/>
                <w:lang w:val="el-GR"/>
              </w:rPr>
              <w:t>Συναφή</w:t>
            </w:r>
            <w:r>
              <w:rPr>
                <w:rFonts w:cs="Arial" w:ascii="Calibri" w:hAnsi="Calibri"/>
                <w:i/>
                <w:sz w:val="22"/>
                <w:szCs w:val="22"/>
              </w:rPr>
              <w:t xml:space="preserve"> </w:t>
            </w:r>
            <w:r>
              <w:rPr>
                <w:rFonts w:cs="Arial" w:ascii="Calibri" w:hAnsi="Calibri"/>
                <w:i/>
                <w:sz w:val="22"/>
                <w:szCs w:val="22"/>
                <w:lang w:val="el-GR"/>
              </w:rPr>
              <w:t>επιστημονικά</w:t>
            </w:r>
            <w:r>
              <w:rPr>
                <w:rFonts w:cs="Arial" w:ascii="Calibri" w:hAnsi="Calibri"/>
                <w:i/>
                <w:sz w:val="22"/>
                <w:szCs w:val="22"/>
              </w:rPr>
              <w:t xml:space="preserve"> </w:t>
            </w:r>
            <w:r>
              <w:rPr>
                <w:rFonts w:cs="Arial" w:ascii="Calibri" w:hAnsi="Calibri"/>
                <w:i/>
                <w:sz w:val="22"/>
                <w:szCs w:val="22"/>
                <w:lang w:val="el-GR"/>
              </w:rPr>
              <w:t>περιοδικά</w:t>
            </w:r>
            <w:r>
              <w:rPr>
                <w:rFonts w:cs="Arial" w:ascii="Calibri" w:hAnsi="Calibri"/>
                <w:i/>
                <w:sz w:val="22"/>
                <w:szCs w:val="22"/>
              </w:rPr>
              <w:t>:</w:t>
            </w:r>
          </w:p>
          <w:p>
            <w:pPr>
              <w:pStyle w:val="Normal"/>
              <w:jc w:val="both"/>
              <w:rPr>
                <w:rFonts w:ascii="Calibri" w:hAnsi="Calibri" w:eastAsia="Calibri" w:cs="Arial"/>
                <w:sz w:val="22"/>
                <w:szCs w:val="22"/>
              </w:rPr>
            </w:pPr>
            <w:r>
              <w:rPr>
                <w:rFonts w:eastAsia="Calibri" w:cs="Arial" w:ascii="Calibri" w:hAnsi="Calibri"/>
                <w:sz w:val="22"/>
                <w:szCs w:val="22"/>
              </w:rPr>
            </w:r>
          </w:p>
          <w:p>
            <w:pPr>
              <w:pStyle w:val="Normal"/>
              <w:numPr>
                <w:ilvl w:val="0"/>
                <w:numId w:val="0"/>
              </w:numPr>
              <w:outlineLvl w:val="0"/>
              <w:rPr>
                <w:rFonts w:ascii="Calibri" w:hAnsi="Calibri"/>
                <w:bCs/>
                <w:sz w:val="22"/>
                <w:szCs w:val="22"/>
                <w:lang w:val="en-GB" w:eastAsia="el-GR"/>
              </w:rPr>
            </w:pPr>
            <w:r>
              <w:rPr>
                <w:rFonts w:ascii="Calibri" w:hAnsi="Calibri"/>
                <w:bCs/>
                <w:sz w:val="22"/>
                <w:szCs w:val="22"/>
                <w:lang w:eastAsia="el-GR"/>
              </w:rPr>
              <w:t xml:space="preserve">Journal of </w:t>
            </w:r>
            <w:r>
              <w:rPr>
                <w:rFonts w:ascii="Calibri" w:hAnsi="Calibri"/>
                <w:bCs/>
                <w:sz w:val="22"/>
                <w:szCs w:val="22"/>
                <w:lang w:val="en-GB" w:eastAsia="el-GR"/>
              </w:rPr>
              <w:t>Egyptian Archaeology</w:t>
            </w:r>
          </w:p>
          <w:p>
            <w:pPr>
              <w:pStyle w:val="Normal"/>
              <w:numPr>
                <w:ilvl w:val="0"/>
                <w:numId w:val="0"/>
              </w:numPr>
              <w:outlineLvl w:val="0"/>
              <w:rPr/>
            </w:pPr>
            <w:hyperlink r:id="rId3">
              <w:r>
                <w:rPr>
                  <w:rStyle w:val="InternetLink"/>
                  <w:rFonts w:ascii="Calibri" w:hAnsi="Calibri"/>
                  <w:bCs/>
                  <w:color w:val="00000A"/>
                  <w:sz w:val="22"/>
                  <w:szCs w:val="22"/>
                  <w:lang w:val="en-GB" w:eastAsia="el-GR"/>
                </w:rPr>
                <w:t>http://www.ees.ac.uk/publications/journal-egyptian-archaeology.html</w:t>
              </w:r>
            </w:hyperlink>
            <w:r>
              <w:rPr>
                <w:rFonts w:ascii="Calibri" w:hAnsi="Calibri"/>
                <w:bCs/>
                <w:sz w:val="22"/>
                <w:szCs w:val="22"/>
                <w:lang w:val="en-GB" w:eastAsia="el-GR"/>
              </w:rPr>
              <w:t xml:space="preserve"> </w:t>
            </w:r>
          </w:p>
          <w:p>
            <w:pPr>
              <w:pStyle w:val="Normal"/>
              <w:numPr>
                <w:ilvl w:val="0"/>
                <w:numId w:val="0"/>
              </w:numPr>
              <w:outlineLvl w:val="0"/>
              <w:rPr>
                <w:rFonts w:ascii="Calibri" w:hAnsi="Calibri"/>
                <w:iCs/>
                <w:sz w:val="22"/>
                <w:szCs w:val="22"/>
              </w:rPr>
            </w:pPr>
            <w:r>
              <w:rPr>
                <w:rFonts w:ascii="Calibri" w:hAnsi="Calibri"/>
                <w:iCs/>
                <w:sz w:val="22"/>
                <w:szCs w:val="22"/>
              </w:rPr>
              <w:t>Journal of Ancient Egyptian Interconnections</w:t>
            </w:r>
          </w:p>
          <w:p>
            <w:pPr>
              <w:pStyle w:val="Normal"/>
              <w:numPr>
                <w:ilvl w:val="0"/>
                <w:numId w:val="0"/>
              </w:numPr>
              <w:outlineLvl w:val="0"/>
              <w:rPr/>
            </w:pPr>
            <w:hyperlink r:id="rId4">
              <w:r>
                <w:rPr>
                  <w:rStyle w:val="InternetLink"/>
                  <w:rFonts w:ascii="Calibri" w:hAnsi="Calibri"/>
                  <w:bCs/>
                  <w:color w:val="00000A"/>
                  <w:sz w:val="22"/>
                  <w:szCs w:val="22"/>
                  <w:lang w:eastAsia="el-GR"/>
                </w:rPr>
                <w:t>https://journals.uair.arizona.edu/index.php/jaei</w:t>
              </w:r>
            </w:hyperlink>
            <w:r>
              <w:rPr>
                <w:rFonts w:ascii="Calibri" w:hAnsi="Calibri"/>
                <w:bCs/>
                <w:sz w:val="22"/>
                <w:szCs w:val="22"/>
                <w:lang w:eastAsia="el-GR"/>
              </w:rPr>
              <w:t xml:space="preserve"> </w:t>
            </w:r>
          </w:p>
          <w:p>
            <w:pPr>
              <w:pStyle w:val="Normal"/>
              <w:rPr>
                <w:rFonts w:ascii="Calibri" w:hAnsi="Calibri"/>
                <w:spacing w:val="4"/>
                <w:sz w:val="22"/>
                <w:szCs w:val="22"/>
              </w:rPr>
            </w:pPr>
            <w:r>
              <w:rPr>
                <w:rFonts w:ascii="Calibri" w:hAnsi="Calibri"/>
                <w:spacing w:val="4"/>
                <w:sz w:val="22"/>
                <w:szCs w:val="22"/>
              </w:rPr>
              <w:t>Journal of Egyptian History</w:t>
            </w:r>
          </w:p>
          <w:p>
            <w:pPr>
              <w:pStyle w:val="Normal"/>
              <w:rPr/>
            </w:pPr>
            <w:hyperlink r:id="rId5">
              <w:r>
                <w:rPr>
                  <w:rStyle w:val="InternetLink"/>
                  <w:rFonts w:ascii="Calibri" w:hAnsi="Calibri"/>
                  <w:color w:val="00000A"/>
                  <w:spacing w:val="4"/>
                  <w:sz w:val="22"/>
                  <w:szCs w:val="22"/>
                </w:rPr>
                <w:t>http://www.editorialmanager.com/jegh/mainpage.html</w:t>
              </w:r>
            </w:hyperlink>
            <w:r>
              <w:rPr>
                <w:rFonts w:ascii="Calibri" w:hAnsi="Calibri"/>
                <w:spacing w:val="4"/>
                <w:sz w:val="22"/>
                <w:szCs w:val="22"/>
              </w:rPr>
              <w:t xml:space="preserve"> </w:t>
            </w:r>
          </w:p>
          <w:p>
            <w:pPr>
              <w:pStyle w:val="Normal"/>
              <w:rPr>
                <w:rFonts w:ascii="Calibri" w:hAnsi="Calibri"/>
                <w:spacing w:val="4"/>
                <w:sz w:val="22"/>
                <w:szCs w:val="22"/>
              </w:rPr>
            </w:pPr>
            <w:r>
              <w:rPr>
                <w:rFonts w:ascii="Calibri" w:hAnsi="Calibri"/>
                <w:spacing w:val="4"/>
                <w:sz w:val="22"/>
                <w:szCs w:val="22"/>
              </w:rPr>
              <w:t xml:space="preserve">Gottinger Miszelen </w:t>
            </w:r>
          </w:p>
          <w:p>
            <w:pPr>
              <w:pStyle w:val="Normal"/>
              <w:rPr/>
            </w:pPr>
            <w:hyperlink r:id="rId6">
              <w:r>
                <w:rPr>
                  <w:rStyle w:val="InternetLink"/>
                  <w:rFonts w:cs="Arial" w:ascii="Calibri" w:hAnsi="Calibri"/>
                  <w:color w:val="00000A"/>
                  <w:sz w:val="22"/>
                  <w:szCs w:val="22"/>
                </w:rPr>
                <w:t>https://www.digizeitschriften.de/dms/toc/?PID=PPN522563589</w:t>
              </w:r>
            </w:hyperlink>
            <w:r>
              <w:rPr>
                <w:rFonts w:cs="Arial" w:ascii="Calibri" w:hAnsi="Calibri"/>
                <w:sz w:val="22"/>
                <w:szCs w:val="22"/>
              </w:rPr>
              <w:t xml:space="preserve"> </w:t>
            </w:r>
          </w:p>
          <w:p>
            <w:pPr>
              <w:pStyle w:val="Heading1"/>
              <w:spacing w:before="0" w:after="0"/>
              <w:rPr>
                <w:rFonts w:ascii="Calibri" w:hAnsi="Calibri"/>
                <w:b w:val="false"/>
                <w:b w:val="false"/>
                <w:sz w:val="22"/>
                <w:szCs w:val="22"/>
                <w:lang w:val="en-GB"/>
              </w:rPr>
            </w:pPr>
            <w:r>
              <w:rPr>
                <w:rFonts w:ascii="Calibri" w:hAnsi="Calibri"/>
                <w:b w:val="false"/>
                <w:sz w:val="22"/>
                <w:szCs w:val="22"/>
                <w:lang w:val="en-GB"/>
              </w:rPr>
              <w:t>Journal of American Research Center in Egypt</w:t>
            </w:r>
          </w:p>
          <w:p>
            <w:pPr>
              <w:pStyle w:val="Normal"/>
              <w:rPr/>
            </w:pPr>
            <w:hyperlink r:id="rId7">
              <w:r>
                <w:rPr>
                  <w:rStyle w:val="InternetLink"/>
                  <w:rFonts w:ascii="Calibri" w:hAnsi="Calibri"/>
                  <w:color w:val="00000A"/>
                  <w:sz w:val="22"/>
                  <w:szCs w:val="22"/>
                  <w:lang w:val="en-GB"/>
                </w:rPr>
                <w:t>http://www.arce.org/publications/journals/overview</w:t>
              </w:r>
            </w:hyperlink>
            <w:r>
              <w:rPr>
                <w:rFonts w:ascii="Calibri" w:hAnsi="Calibri"/>
                <w:sz w:val="22"/>
                <w:szCs w:val="22"/>
                <w:lang w:val="en-GB"/>
              </w:rPr>
              <w:t xml:space="preserve"> </w:t>
            </w:r>
          </w:p>
          <w:p>
            <w:pPr>
              <w:pStyle w:val="Normal"/>
              <w:jc w:val="both"/>
              <w:rPr>
                <w:rFonts w:ascii="Calibri" w:hAnsi="Calibri" w:cs="Arial"/>
                <w:sz w:val="22"/>
                <w:szCs w:val="22"/>
                <w:lang w:val="el-GR"/>
              </w:rPr>
            </w:pPr>
            <w:r>
              <w:rPr>
                <w:rFonts w:cs="Arial" w:ascii="Calibri" w:hAnsi="Calibri"/>
                <w:sz w:val="22"/>
                <w:szCs w:val="22"/>
                <w:lang w:val="el-GR"/>
              </w:rPr>
              <w:t>Θέματα Αρχαιολογίας</w:t>
            </w:r>
          </w:p>
          <w:p>
            <w:pPr>
              <w:pStyle w:val="Normal"/>
              <w:jc w:val="both"/>
              <w:rPr/>
            </w:pPr>
            <w:hyperlink r:id="rId8">
              <w:bookmarkStart w:id="0" w:name="_GoBack"/>
              <w:bookmarkStart w:id="1" w:name="_Toc181708547"/>
              <w:bookmarkEnd w:id="0"/>
              <w:bookmarkEnd w:id="1"/>
              <w:r>
                <w:rPr>
                  <w:rStyle w:val="InternetLink"/>
                  <w:rFonts w:eastAsia="Calibri" w:cs="Arial" w:ascii="Calibri" w:hAnsi="Calibri"/>
                  <w:color w:val="00000A"/>
                  <w:sz w:val="22"/>
                  <w:szCs w:val="22"/>
                  <w:lang w:val="el-GR"/>
                </w:rPr>
                <w:t>http://www.themata-archaiologias.gr</w:t>
              </w:r>
            </w:hyperlink>
          </w:p>
        </w:tc>
      </w:tr>
    </w:tbl>
    <w:p>
      <w:pPr>
        <w:pStyle w:val="Normal"/>
        <w:pBdr/>
        <w:rPr/>
      </w:pPr>
      <w:r>
        <w:rPr/>
      </w:r>
    </w:p>
    <w:sectPr>
      <w:type w:val="nextPage"/>
      <w:pgSz w:w="11906" w:h="16838"/>
      <w:pgMar w:left="1418" w:right="130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Georgia">
    <w:charset w:val="01"/>
    <w:family w:val="roman"/>
    <w:pitch w:val="variable"/>
  </w:font>
  <w:font w:name="Calibri">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Calibri Ligh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uiPriority="0"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0"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724c"/>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link w:val="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link w:val="2Char"/>
    <w:uiPriority w:val="99"/>
    <w:qFormat/>
    <w:rsid w:val="0042341e"/>
    <w:pPr>
      <w:keepNext/>
      <w:spacing w:before="120" w:after="240"/>
      <w:ind w:left="62" w:hanging="0"/>
      <w:outlineLvl w:val="1"/>
    </w:pPr>
    <w:rPr>
      <w:rFonts w:ascii="Arial" w:hAnsi="Arial"/>
      <w:b/>
      <w:bCs/>
      <w:sz w:val="28"/>
    </w:rPr>
  </w:style>
  <w:style w:type="paragraph" w:styleId="Heading3">
    <w:name w:val="Heading 3"/>
    <w:basedOn w:val="Normal"/>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link w:val="4Char"/>
    <w:uiPriority w:val="99"/>
    <w:qFormat/>
    <w:rsid w:val="0042341e"/>
    <w:pPr>
      <w:keepNext/>
      <w:jc w:val="center"/>
      <w:outlineLvl w:val="3"/>
    </w:pPr>
    <w:rPr>
      <w:b/>
      <w:bCs/>
      <w:sz w:val="32"/>
    </w:rPr>
  </w:style>
  <w:style w:type="paragraph" w:styleId="Heading5">
    <w:name w:val="Heading 5"/>
    <w:basedOn w:val="Normal"/>
    <w:link w:val="5Char"/>
    <w:uiPriority w:val="99"/>
    <w:qFormat/>
    <w:rsid w:val="0042341e"/>
    <w:pPr>
      <w:keepNext/>
      <w:spacing w:before="0" w:after="120"/>
      <w:ind w:left="720" w:hanging="720"/>
      <w:jc w:val="center"/>
      <w:outlineLvl w:val="4"/>
    </w:pPr>
    <w:rPr>
      <w:b/>
      <w:bCs/>
      <w:lang w:val="el-GR"/>
    </w:rPr>
  </w:style>
  <w:style w:type="paragraph" w:styleId="Heading6">
    <w:name w:val="Heading 6"/>
    <w:basedOn w:val="Normal"/>
    <w:link w:val="6Char"/>
    <w:uiPriority w:val="99"/>
    <w:qFormat/>
    <w:rsid w:val="0042341e"/>
    <w:pPr>
      <w:keepNext/>
      <w:jc w:val="center"/>
      <w:outlineLvl w:val="5"/>
    </w:pPr>
    <w:rPr>
      <w:rFonts w:ascii="Georgia" w:hAnsi="Georgia" w:cs="Arial"/>
      <w:b/>
      <w:bCs/>
      <w:lang w:val="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locked/>
    <w:rsid w:val="00717340"/>
    <w:rPr>
      <w:rFonts w:ascii="Arial" w:hAnsi="Arial" w:cs="Arial"/>
      <w:b/>
      <w:bCs/>
      <w:sz w:val="24"/>
      <w:szCs w:val="24"/>
      <w:lang w:eastAsia="en-US"/>
    </w:rPr>
  </w:style>
  <w:style w:type="character" w:styleId="2Char" w:customStyle="1">
    <w:name w:val="Επικεφαλίδα 2 Char"/>
    <w:basedOn w:val="DefaultParagraphFont"/>
    <w:link w:val="2"/>
    <w:uiPriority w:val="99"/>
    <w:qFormat/>
    <w:locked/>
    <w:rsid w:val="004520bf"/>
    <w:rPr>
      <w:rFonts w:ascii="Arial" w:hAnsi="Arial" w:cs="Times New Roman"/>
      <w:b/>
      <w:sz w:val="24"/>
      <w:lang w:eastAsia="en-US"/>
    </w:rPr>
  </w:style>
  <w:style w:type="character" w:styleId="3Char" w:customStyle="1">
    <w:name w:val="Επικεφαλίδα 3 Char"/>
    <w:basedOn w:val="DefaultParagraphFont"/>
    <w:link w:val="3"/>
    <w:uiPriority w:val="99"/>
    <w:qFormat/>
    <w:locked/>
    <w:rsid w:val="00717340"/>
    <w:rPr>
      <w:rFonts w:ascii="Arial" w:hAnsi="Arial" w:cs="Arial"/>
      <w:b/>
      <w:bCs/>
      <w:sz w:val="26"/>
      <w:szCs w:val="26"/>
      <w:lang w:eastAsia="en-US"/>
    </w:rPr>
  </w:style>
  <w:style w:type="character" w:styleId="4Char" w:customStyle="1">
    <w:name w:val="Επικεφαλίδα 4 Char"/>
    <w:basedOn w:val="DefaultParagraphFont"/>
    <w:link w:val="4"/>
    <w:uiPriority w:val="9"/>
    <w:semiHidden/>
    <w:qFormat/>
    <w:locked/>
    <w:rsid w:val="003b23d7"/>
    <w:rPr>
      <w:rFonts w:ascii="Calibri" w:hAnsi="Calibri" w:cs="Times New Roman"/>
      <w:b/>
      <w:bCs/>
      <w:sz w:val="28"/>
      <w:szCs w:val="28"/>
    </w:rPr>
  </w:style>
  <w:style w:type="character" w:styleId="5Char" w:customStyle="1">
    <w:name w:val="Επικεφαλίδα 5 Char"/>
    <w:basedOn w:val="DefaultParagraphFont"/>
    <w:link w:val="5"/>
    <w:uiPriority w:val="9"/>
    <w:semiHidden/>
    <w:qFormat/>
    <w:locked/>
    <w:rsid w:val="003b23d7"/>
    <w:rPr>
      <w:rFonts w:ascii="Calibri" w:hAnsi="Calibri" w:cs="Times New Roman"/>
      <w:b/>
      <w:bCs/>
      <w:i/>
      <w:iCs/>
      <w:sz w:val="26"/>
      <w:szCs w:val="26"/>
    </w:rPr>
  </w:style>
  <w:style w:type="character" w:styleId="6Char" w:customStyle="1">
    <w:name w:val="Επικεφαλίδα 6 Char"/>
    <w:basedOn w:val="DefaultParagraphFont"/>
    <w:link w:val="6"/>
    <w:uiPriority w:val="9"/>
    <w:semiHidden/>
    <w:qFormat/>
    <w:locked/>
    <w:rsid w:val="003b23d7"/>
    <w:rPr>
      <w:rFonts w:ascii="Calibri" w:hAnsi="Calibri" w:cs="Times New Roman"/>
      <w:b/>
      <w:bCs/>
    </w:rPr>
  </w:style>
  <w:style w:type="character" w:styleId="Char" w:customStyle="1">
    <w:name w:val="Σώμα κειμένου Char"/>
    <w:basedOn w:val="DefaultParagraphFont"/>
    <w:link w:val="a3"/>
    <w:uiPriority w:val="99"/>
    <w:qFormat/>
    <w:locked/>
    <w:rsid w:val="004520bf"/>
    <w:rPr>
      <w:rFonts w:cs="Times New Roman"/>
      <w:sz w:val="24"/>
      <w:lang w:eastAsia="en-US"/>
    </w:rPr>
  </w:style>
  <w:style w:type="character" w:styleId="Char1" w:customStyle="1">
    <w:name w:val="Κείμενο υποσημείωσης Char"/>
    <w:basedOn w:val="DefaultParagraphFont"/>
    <w:link w:val="a4"/>
    <w:qFormat/>
    <w:locked/>
    <w:rsid w:val="00717340"/>
    <w:rPr>
      <w:rFonts w:cs="Times New Roman"/>
      <w:lang w:val="en-US" w:eastAsia="en-US"/>
    </w:rPr>
  </w:style>
  <w:style w:type="character" w:styleId="Footnotereference">
    <w:name w:val="footnote reference"/>
    <w:basedOn w:val="DefaultParagraphFont"/>
    <w:semiHidden/>
    <w:qFormat/>
    <w:rsid w:val="0042341e"/>
    <w:rPr>
      <w:rFonts w:cs="Times New Roman"/>
      <w:vertAlign w:val="superscript"/>
    </w:rPr>
  </w:style>
  <w:style w:type="character" w:styleId="Char2" w:customStyle="1">
    <w:name w:val="Κεφαλίδα Char"/>
    <w:basedOn w:val="DefaultParagraphFont"/>
    <w:link w:val="a6"/>
    <w:uiPriority w:val="99"/>
    <w:qFormat/>
    <w:locked/>
    <w:rsid w:val="00704db8"/>
    <w:rPr>
      <w:rFonts w:cs="Times New Roman"/>
      <w:sz w:val="24"/>
      <w:szCs w:val="24"/>
      <w:lang w:val="en-US" w:eastAsia="en-US"/>
    </w:rPr>
  </w:style>
  <w:style w:type="character" w:styleId="Pagenumber">
    <w:name w:val="page number"/>
    <w:basedOn w:val="DefaultParagraphFont"/>
    <w:uiPriority w:val="99"/>
    <w:qFormat/>
    <w:rsid w:val="0042341e"/>
    <w:rPr>
      <w:rFonts w:cs="Times New Roman"/>
    </w:rPr>
  </w:style>
  <w:style w:type="character" w:styleId="Char3" w:customStyle="1">
    <w:name w:val="Σώμα κείμενου με εσοχή Char"/>
    <w:basedOn w:val="DefaultParagraphFont"/>
    <w:link w:val="a8"/>
    <w:uiPriority w:val="99"/>
    <w:semiHidden/>
    <w:qFormat/>
    <w:locked/>
    <w:rsid w:val="003b23d7"/>
    <w:rPr>
      <w:rFonts w:cs="Times New Roman"/>
      <w:sz w:val="24"/>
      <w:szCs w:val="24"/>
    </w:rPr>
  </w:style>
  <w:style w:type="character" w:styleId="2Char1" w:customStyle="1">
    <w:name w:val="Σώμα κείμενου 2 Char"/>
    <w:basedOn w:val="DefaultParagraphFont"/>
    <w:link w:val="20"/>
    <w:uiPriority w:val="99"/>
    <w:semiHidden/>
    <w:qFormat/>
    <w:locked/>
    <w:rsid w:val="003b23d7"/>
    <w:rPr>
      <w:rFonts w:cs="Times New Roman"/>
      <w:sz w:val="24"/>
      <w:szCs w:val="24"/>
    </w:rPr>
  </w:style>
  <w:style w:type="character" w:styleId="2Char2" w:customStyle="1">
    <w:name w:val="Σώμα κείμενου με εσοχή 2 Char"/>
    <w:basedOn w:val="DefaultParagraphFont"/>
    <w:link w:val="21"/>
    <w:uiPriority w:val="99"/>
    <w:semiHidden/>
    <w:qFormat/>
    <w:locked/>
    <w:rsid w:val="003b23d7"/>
    <w:rPr>
      <w:rFonts w:cs="Times New Roman"/>
      <w:sz w:val="24"/>
      <w:szCs w:val="24"/>
    </w:rPr>
  </w:style>
  <w:style w:type="character" w:styleId="InternetLink">
    <w:name w:val="Internet Link"/>
    <w:basedOn w:val="DefaultParagraphFont"/>
    <w:uiPriority w:val="99"/>
    <w:rsid w:val="0042341e"/>
    <w:rPr>
      <w:rFonts w:cs="Times New Roman"/>
      <w:color w:val="0000FF"/>
      <w:u w:val="single"/>
    </w:rPr>
  </w:style>
  <w:style w:type="character" w:styleId="3Char1" w:customStyle="1">
    <w:name w:val="Σώμα κείμενου με εσοχή 3 Char"/>
    <w:basedOn w:val="DefaultParagraphFont"/>
    <w:link w:val="31"/>
    <w:uiPriority w:val="99"/>
    <w:semiHidden/>
    <w:qFormat/>
    <w:locked/>
    <w:rsid w:val="003b23d7"/>
    <w:rPr>
      <w:rFonts w:cs="Times New Roman"/>
      <w:sz w:val="16"/>
      <w:szCs w:val="16"/>
    </w:rPr>
  </w:style>
  <w:style w:type="character" w:styleId="3Char2" w:customStyle="1">
    <w:name w:val="Σώμα κείμενου 3 Char"/>
    <w:basedOn w:val="DefaultParagraphFont"/>
    <w:link w:val="32"/>
    <w:uiPriority w:val="99"/>
    <w:semiHidden/>
    <w:qFormat/>
    <w:locked/>
    <w:rsid w:val="003b23d7"/>
    <w:rPr>
      <w:rFonts w:cs="Times New Roman"/>
      <w:sz w:val="16"/>
      <w:szCs w:val="16"/>
    </w:rPr>
  </w:style>
  <w:style w:type="character" w:styleId="Char4" w:customStyle="1">
    <w:name w:val="Υποσέλιδο Char"/>
    <w:basedOn w:val="DefaultParagraphFont"/>
    <w:link w:val="aa"/>
    <w:uiPriority w:val="99"/>
    <w:semiHidden/>
    <w:qFormat/>
    <w:locked/>
    <w:rsid w:val="003b23d7"/>
    <w:rPr>
      <w:rFonts w:cs="Times New Roman"/>
      <w:sz w:val="24"/>
      <w:szCs w:val="24"/>
    </w:rPr>
  </w:style>
  <w:style w:type="character" w:styleId="HTMLChar" w:customStyle="1">
    <w:name w:val="Προ-διαμορφωμένο HTML Char"/>
    <w:basedOn w:val="DefaultParagraphFont"/>
    <w:link w:val="-HTML"/>
    <w:uiPriority w:val="99"/>
    <w:qFormat/>
    <w:locked/>
    <w:rsid w:val="00846c71"/>
    <w:rPr>
      <w:rFonts w:ascii="Verdana" w:hAnsi="Verdana" w:cs="Courier New"/>
      <w:color w:val="000000"/>
      <w:sz w:val="14"/>
      <w:szCs w:val="14"/>
    </w:rPr>
  </w:style>
  <w:style w:type="character" w:styleId="Char5" w:customStyle="1">
    <w:name w:val="Κείμενο πλαισίου Char"/>
    <w:basedOn w:val="DefaultParagraphFont"/>
    <w:link w:val="ae"/>
    <w:uiPriority w:val="99"/>
    <w:semiHidden/>
    <w:qFormat/>
    <w:locked/>
    <w:rsid w:val="009005d7"/>
    <w:rPr>
      <w:rFonts w:ascii="Tahoma" w:hAnsi="Tahoma" w:cs="Tahoma"/>
      <w:sz w:val="16"/>
      <w:szCs w:val="16"/>
      <w:lang w:val="en-US" w:eastAsia="en-US"/>
    </w:rPr>
  </w:style>
  <w:style w:type="character" w:styleId="Longtext" w:customStyle="1">
    <w:name w:val="long_text"/>
    <w:basedOn w:val="DefaultParagraphFont"/>
    <w:uiPriority w:val="99"/>
    <w:qFormat/>
    <w:rsid w:val="00c44c70"/>
    <w:rPr>
      <w:rFonts w:cs="Times New Roman"/>
    </w:rPr>
  </w:style>
  <w:style w:type="character" w:styleId="Annotationreference">
    <w:name w:val="annotation reference"/>
    <w:basedOn w:val="DefaultParagraphFont"/>
    <w:uiPriority w:val="99"/>
    <w:semiHidden/>
    <w:qFormat/>
    <w:rsid w:val="000571fd"/>
    <w:rPr>
      <w:rFonts w:cs="Times New Roman"/>
      <w:sz w:val="16"/>
      <w:szCs w:val="16"/>
    </w:rPr>
  </w:style>
  <w:style w:type="character" w:styleId="Char6" w:customStyle="1">
    <w:name w:val="Κείμενο σχολίου Char"/>
    <w:basedOn w:val="DefaultParagraphFont"/>
    <w:link w:val="af0"/>
    <w:uiPriority w:val="99"/>
    <w:semiHidden/>
    <w:qFormat/>
    <w:locked/>
    <w:rsid w:val="003b23d7"/>
    <w:rPr>
      <w:rFonts w:cs="Times New Roman"/>
      <w:sz w:val="20"/>
      <w:szCs w:val="20"/>
    </w:rPr>
  </w:style>
  <w:style w:type="character" w:styleId="Char7" w:customStyle="1">
    <w:name w:val="Θέμα σχολίου Char"/>
    <w:basedOn w:val="Char6"/>
    <w:link w:val="af1"/>
    <w:uiPriority w:val="99"/>
    <w:semiHidden/>
    <w:qFormat/>
    <w:locked/>
    <w:rsid w:val="003b23d7"/>
    <w:rPr>
      <w:rFonts w:cs="Times New Roman"/>
      <w:b/>
      <w:bCs/>
      <w:sz w:val="20"/>
      <w:szCs w:val="20"/>
    </w:rPr>
  </w:style>
  <w:style w:type="character" w:styleId="Titleqatooltip" w:customStyle="1">
    <w:name w:val="title qa_tooltip"/>
    <w:basedOn w:val="DefaultParagraphFont"/>
    <w:uiPriority w:val="99"/>
    <w:qFormat/>
    <w:rsid w:val="00ab18ac"/>
    <w:rPr>
      <w:rFonts w:cs="Times New Roman"/>
    </w:rPr>
  </w:style>
  <w:style w:type="character" w:styleId="Qatooltipclassic" w:customStyle="1">
    <w:name w:val="qa_tooltip_classic"/>
    <w:basedOn w:val="DefaultParagraphFont"/>
    <w:uiPriority w:val="99"/>
    <w:qFormat/>
    <w:rsid w:val="00ab18ac"/>
    <w:rPr>
      <w:rFonts w:cs="Times New Roman"/>
    </w:rPr>
  </w:style>
  <w:style w:type="character" w:styleId="Qatooltip" w:customStyle="1">
    <w:name w:val="qa_tooltip"/>
    <w:basedOn w:val="DefaultParagraphFont"/>
    <w:uiPriority w:val="99"/>
    <w:qFormat/>
    <w:rsid w:val="00667ed7"/>
    <w:rPr>
      <w:rFonts w:cs="Times New Roman"/>
    </w:rPr>
  </w:style>
  <w:style w:type="character" w:styleId="Hps" w:customStyle="1">
    <w:name w:val="hps"/>
    <w:basedOn w:val="DefaultParagraphFont"/>
    <w:uiPriority w:val="99"/>
    <w:qFormat/>
    <w:rsid w:val="00382703"/>
    <w:rPr>
      <w:rFonts w:cs="Times New Roman"/>
    </w:rPr>
  </w:style>
  <w:style w:type="character" w:styleId="Shorttext" w:customStyle="1">
    <w:name w:val="short_text"/>
    <w:basedOn w:val="DefaultParagraphFont"/>
    <w:uiPriority w:val="99"/>
    <w:qFormat/>
    <w:rsid w:val="00903735"/>
    <w:rPr>
      <w:rFonts w:cs="Times New Roman"/>
    </w:rPr>
  </w:style>
  <w:style w:type="character" w:styleId="Atn" w:customStyle="1">
    <w:name w:val="atn"/>
    <w:basedOn w:val="DefaultParagraphFont"/>
    <w:uiPriority w:val="99"/>
    <w:qFormat/>
    <w:rsid w:val="00903735"/>
    <w:rPr>
      <w:rFonts w:cs="Times New Roman"/>
    </w:rPr>
  </w:style>
  <w:style w:type="character" w:styleId="St" w:customStyle="1">
    <w:name w:val="st"/>
    <w:basedOn w:val="DefaultParagraphFont"/>
    <w:uiPriority w:val="99"/>
    <w:qFormat/>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ListLabel1">
    <w:name w:val="ListLabel 1"/>
    <w:qFormat/>
    <w:rPr>
      <w:rFonts w:ascii="Calibri" w:hAnsi="Calibri" w:cs="Times New Roman"/>
      <w:b/>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Char"/>
    <w:uiPriority w:val="99"/>
    <w:rsid w:val="0042341e"/>
    <w:pPr>
      <w:jc w:val="both"/>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text">
    <w:name w:val="footnote text"/>
    <w:basedOn w:val="Normal"/>
    <w:link w:val="Char0"/>
    <w:qFormat/>
    <w:rsid w:val="0042341e"/>
    <w:pPr/>
    <w:rPr>
      <w:sz w:val="20"/>
      <w:szCs w:val="20"/>
    </w:rPr>
  </w:style>
  <w:style w:type="paragraph" w:styleId="Header">
    <w:name w:val="Header"/>
    <w:basedOn w:val="Normal"/>
    <w:link w:val="Char1"/>
    <w:uiPriority w:val="99"/>
    <w:rsid w:val="0042341e"/>
    <w:pPr>
      <w:tabs>
        <w:tab w:val="center" w:pos="4153" w:leader="none"/>
        <w:tab w:val="right" w:pos="8306" w:leader="none"/>
      </w:tabs>
    </w:pPr>
    <w:rPr/>
  </w:style>
  <w:style w:type="paragraph" w:styleId="TextBodyIndent">
    <w:name w:val="Body Text Indent"/>
    <w:basedOn w:val="Normal"/>
    <w:link w:val="Char2"/>
    <w:uiPriority w:val="99"/>
    <w:rsid w:val="0042341e"/>
    <w:pPr>
      <w:ind w:left="540" w:hanging="540"/>
      <w:jc w:val="both"/>
    </w:pPr>
    <w:rPr>
      <w:b/>
      <w:bCs/>
      <w:lang w:val="el-GR"/>
    </w:rPr>
  </w:style>
  <w:style w:type="paragraph" w:styleId="BodyText2">
    <w:name w:val="Body Text 2"/>
    <w:basedOn w:val="Normal"/>
    <w:link w:val="2Char0"/>
    <w:uiPriority w:val="99"/>
    <w:qFormat/>
    <w:rsid w:val="0042341e"/>
    <w:pPr>
      <w:jc w:val="both"/>
    </w:pPr>
    <w:rPr>
      <w:b/>
      <w:bCs/>
      <w:lang w:val="el-GR"/>
    </w:rPr>
  </w:style>
  <w:style w:type="paragraph" w:styleId="BodyTextIndent2">
    <w:name w:val="Body Text Indent 2"/>
    <w:basedOn w:val="Normal"/>
    <w:link w:val="2Char1"/>
    <w:uiPriority w:val="99"/>
    <w:qFormat/>
    <w:rsid w:val="0042341e"/>
    <w:pPr>
      <w:ind w:left="720" w:hanging="720"/>
      <w:jc w:val="both"/>
    </w:pPr>
    <w:rPr>
      <w:b/>
      <w:bCs/>
      <w:lang w:val="el-GR"/>
    </w:rPr>
  </w:style>
  <w:style w:type="paragraph" w:styleId="Contents1">
    <w:name w:val="TOC 1"/>
    <w:basedOn w:val="Normal"/>
    <w:autoRedefine/>
    <w:uiPriority w:val="39"/>
    <w:rsid w:val="00167bf7"/>
    <w:pPr>
      <w:tabs>
        <w:tab w:val="right" w:pos="8789" w:leader="dot"/>
      </w:tabs>
      <w:spacing w:lineRule="auto" w:line="360"/>
    </w:pPr>
    <w:rPr>
      <w:rFonts w:ascii="Georgia" w:hAnsi="Georgia"/>
      <w:b/>
      <w:bCs/>
      <w:sz w:val="20"/>
      <w:szCs w:val="32"/>
      <w:lang w:val="el-GR"/>
    </w:rPr>
  </w:style>
  <w:style w:type="paragraph" w:styleId="Contents2">
    <w:name w:val="TOC 2"/>
    <w:basedOn w:val="Normal"/>
    <w:autoRedefine/>
    <w:uiPriority w:val="39"/>
    <w:rsid w:val="00167bf7"/>
    <w:pPr>
      <w:tabs>
        <w:tab w:val="left" w:pos="720" w:leader="none"/>
        <w:tab w:val="right" w:pos="8789" w:leader="dot"/>
      </w:tabs>
      <w:spacing w:lineRule="auto" w:line="360"/>
    </w:pPr>
    <w:rPr>
      <w:rFonts w:ascii="Georgia" w:hAnsi="Georgia"/>
      <w:sz w:val="20"/>
      <w:szCs w:val="28"/>
      <w:lang w:val="el-GR"/>
    </w:rPr>
  </w:style>
  <w:style w:type="paragraph" w:styleId="Contents3">
    <w:name w:val="TOC 3"/>
    <w:basedOn w:val="Normal"/>
    <w:autoRedefine/>
    <w:uiPriority w:val="99"/>
    <w:rsid w:val="0042341e"/>
    <w:pPr>
      <w:ind w:left="480" w:hanging="0"/>
    </w:pPr>
    <w:rPr/>
  </w:style>
  <w:style w:type="paragraph" w:styleId="Contents4">
    <w:name w:val="TOC 4"/>
    <w:basedOn w:val="Normal"/>
    <w:autoRedefine/>
    <w:uiPriority w:val="99"/>
    <w:semiHidden/>
    <w:rsid w:val="0042341e"/>
    <w:pPr>
      <w:ind w:left="720" w:hanging="0"/>
    </w:pPr>
    <w:rPr/>
  </w:style>
  <w:style w:type="paragraph" w:styleId="Contents5">
    <w:name w:val="TOC 5"/>
    <w:basedOn w:val="Normal"/>
    <w:autoRedefine/>
    <w:uiPriority w:val="99"/>
    <w:semiHidden/>
    <w:rsid w:val="0042341e"/>
    <w:pPr>
      <w:ind w:left="960" w:hanging="0"/>
    </w:pPr>
    <w:rPr/>
  </w:style>
  <w:style w:type="paragraph" w:styleId="Contents6">
    <w:name w:val="TOC 6"/>
    <w:basedOn w:val="Normal"/>
    <w:autoRedefine/>
    <w:uiPriority w:val="99"/>
    <w:semiHidden/>
    <w:rsid w:val="0042341e"/>
    <w:pPr>
      <w:ind w:left="1200" w:hanging="0"/>
    </w:pPr>
    <w:rPr/>
  </w:style>
  <w:style w:type="paragraph" w:styleId="Contents7">
    <w:name w:val="TOC 7"/>
    <w:basedOn w:val="Normal"/>
    <w:autoRedefine/>
    <w:uiPriority w:val="99"/>
    <w:semiHidden/>
    <w:rsid w:val="0042341e"/>
    <w:pPr>
      <w:ind w:left="1440" w:hanging="0"/>
    </w:pPr>
    <w:rPr/>
  </w:style>
  <w:style w:type="paragraph" w:styleId="Contents8">
    <w:name w:val="TOC 8"/>
    <w:basedOn w:val="Normal"/>
    <w:autoRedefine/>
    <w:uiPriority w:val="99"/>
    <w:semiHidden/>
    <w:rsid w:val="0042341e"/>
    <w:pPr>
      <w:ind w:left="1680" w:hanging="0"/>
    </w:pPr>
    <w:rPr/>
  </w:style>
  <w:style w:type="paragraph" w:styleId="Contents9">
    <w:name w:val="TOC 9"/>
    <w:basedOn w:val="Normal"/>
    <w:autoRedefine/>
    <w:uiPriority w:val="99"/>
    <w:semiHidden/>
    <w:rsid w:val="0042341e"/>
    <w:pPr>
      <w:ind w:left="1920" w:hanging="0"/>
    </w:pPr>
    <w:rPr/>
  </w:style>
  <w:style w:type="paragraph" w:styleId="BodyTextIndent3">
    <w:name w:val="Body Text Indent 3"/>
    <w:basedOn w:val="Normal"/>
    <w:link w:val="3Char0"/>
    <w:uiPriority w:val="99"/>
    <w:qFormat/>
    <w:rsid w:val="0042341e"/>
    <w:pPr>
      <w:ind w:left="720" w:hanging="720"/>
      <w:jc w:val="both"/>
    </w:pPr>
    <w:rPr>
      <w:lang w:val="el-GR"/>
    </w:rPr>
  </w:style>
  <w:style w:type="paragraph" w:styleId="BodyText3">
    <w:name w:val="Body Text 3"/>
    <w:basedOn w:val="Normal"/>
    <w:link w:val="3Char1"/>
    <w:uiPriority w:val="99"/>
    <w:qFormat/>
    <w:rsid w:val="0042341e"/>
    <w:pPr>
      <w:jc w:val="center"/>
    </w:pPr>
    <w:rPr>
      <w:b/>
      <w:bCs/>
      <w:lang w:val="el-GR"/>
    </w:rPr>
  </w:style>
  <w:style w:type="paragraph" w:styleId="Caption1">
    <w:name w:val="caption"/>
    <w:basedOn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Char3"/>
    <w:uiPriority w:val="99"/>
    <w:rsid w:val="0042341e"/>
    <w:pPr>
      <w:tabs>
        <w:tab w:val="center" w:pos="4153" w:leader="none"/>
        <w:tab w:val="right" w:pos="8306" w:leader="none"/>
      </w:tabs>
    </w:pPr>
    <w:rPr/>
  </w:style>
  <w:style w:type="paragraph" w:styleId="ListParagraph">
    <w:name w:val="List Paragraph"/>
    <w:basedOn w:val="Normal"/>
    <w:uiPriority w:val="34"/>
    <w:qFormat/>
    <w:rsid w:val="007968a7"/>
    <w:pPr>
      <w:spacing w:lineRule="auto" w:line="276" w:before="0" w:after="200"/>
      <w:ind w:left="720" w:hanging="0"/>
      <w:contextualSpacing/>
    </w:pPr>
    <w:rPr>
      <w:rFonts w:ascii="Calibri" w:hAnsi="Calibri"/>
      <w:sz w:val="22"/>
      <w:szCs w:val="22"/>
      <w:lang w:val="el-GR"/>
    </w:rPr>
  </w:style>
  <w:style w:type="paragraph" w:styleId="HTMLPreformatted">
    <w:name w:val="HTML Preformatted"/>
    <w:basedOn w:val="Normal"/>
    <w:link w:val="-HTMLChar"/>
    <w:uiPriority w:val="99"/>
    <w:qFormat/>
    <w:rsid w:val="00846c7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Verdana" w:hAnsi="Verdana" w:cs="Courier New"/>
      <w:color w:val="000000"/>
      <w:sz w:val="14"/>
      <w:szCs w:val="14"/>
      <w:lang w:val="el-GR" w:eastAsia="el-GR"/>
    </w:rPr>
  </w:style>
  <w:style w:type="paragraph" w:styleId="TOCHeading">
    <w:name w:val="TOC Heading"/>
    <w:basedOn w:val="Heading1"/>
    <w:uiPriority w:val="99"/>
    <w:qFormat/>
    <w:rsid w:val="007960c1"/>
    <w:pPr>
      <w:keepLines/>
      <w:spacing w:lineRule="auto" w:line="259" w:before="240" w:after="0"/>
    </w:pPr>
    <w:rPr>
      <w:rFonts w:ascii="Calibri Light" w:hAnsi="Calibri Light" w:cs="Times New Roman"/>
      <w:b w:val="false"/>
      <w:bCs w:val="false"/>
      <w:color w:val="2E74B5"/>
      <w:szCs w:val="32"/>
      <w:lang w:val="en-US"/>
    </w:rPr>
  </w:style>
  <w:style w:type="paragraph" w:styleId="BalloonText">
    <w:name w:val="Balloon Text"/>
    <w:basedOn w:val="Normal"/>
    <w:link w:val="Char4"/>
    <w:uiPriority w:val="99"/>
    <w:semiHidden/>
    <w:qFormat/>
    <w:rsid w:val="009005d7"/>
    <w:pPr/>
    <w:rPr>
      <w:rFonts w:ascii="Tahoma" w:hAnsi="Tahoma" w:cs="Tahoma"/>
      <w:sz w:val="16"/>
      <w:szCs w:val="16"/>
    </w:rPr>
  </w:style>
  <w:style w:type="paragraph" w:styleId="Annotationtext">
    <w:name w:val="annotation text"/>
    <w:basedOn w:val="Normal"/>
    <w:link w:val="Char5"/>
    <w:uiPriority w:val="99"/>
    <w:semiHidden/>
    <w:qFormat/>
    <w:rsid w:val="000571fd"/>
    <w:pPr/>
    <w:rPr>
      <w:sz w:val="20"/>
      <w:szCs w:val="20"/>
    </w:rPr>
  </w:style>
  <w:style w:type="paragraph" w:styleId="Annotationsubject">
    <w:name w:val="annotation subject"/>
    <w:basedOn w:val="Annotationtext"/>
    <w:link w:val="Char6"/>
    <w:uiPriority w:val="99"/>
    <w:semiHidden/>
    <w:qFormat/>
    <w:rsid w:val="000571fd"/>
    <w:pPr/>
    <w:rPr>
      <w:b/>
      <w:bCs/>
    </w:rPr>
  </w:style>
  <w:style w:type="paragraph" w:styleId="NormalWeb">
    <w:name w:val="Normal (Web)"/>
    <w:basedOn w:val="Normal"/>
    <w:uiPriority w:val="99"/>
    <w:unhideWhenUsed/>
    <w:qFormat/>
    <w:locked/>
    <w:rsid w:val="00ff34fa"/>
    <w:pPr>
      <w:spacing w:beforeAutospacing="1" w:afterAutospacing="1"/>
    </w:pPr>
    <w:rPr>
      <w:lang w:val="el-GR" w:eastAsia="el-G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99"/>
    <w:rsid w:val="001b78ee"/>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uiPriority w:val="39"/>
    <w:rsid w:val="006122f8"/>
    <w:rPr>
      <w:lang w:val="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2"/>
    <w:uiPriority w:val="39"/>
    <w:rsid w:val="006122f8"/>
    <w:rPr>
      <w:lang w:val="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lass.aegean.gr/courses/TMS135/" TargetMode="External"/><Relationship Id="rId3" Type="http://schemas.openxmlformats.org/officeDocument/2006/relationships/hyperlink" Target="http://www.ees.ac.uk/publications/journal-egyptian-archaeology.html" TargetMode="External"/><Relationship Id="rId4" Type="http://schemas.openxmlformats.org/officeDocument/2006/relationships/hyperlink" Target="https://journals.uair.arizona.edu/index.php/jaei" TargetMode="External"/><Relationship Id="rId5" Type="http://schemas.openxmlformats.org/officeDocument/2006/relationships/hyperlink" Target="http://www.editorialmanager.com/jegh/mainpage.html" TargetMode="External"/><Relationship Id="rId6" Type="http://schemas.openxmlformats.org/officeDocument/2006/relationships/hyperlink" Target="https://www.digizeitschriften.de/dms/toc/?PID=PPN522563589" TargetMode="External"/><Relationship Id="rId7" Type="http://schemas.openxmlformats.org/officeDocument/2006/relationships/hyperlink" Target="http://www.arce.org/publications/journals/overview" TargetMode="External"/><Relationship Id="rId8" Type="http://schemas.openxmlformats.org/officeDocument/2006/relationships/hyperlink" Target="http://www.themata-archaiologias.gr/"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LibreOffice/5.3.1.2$Linux_X86_64 LibreOffice_project/30m0$Build-2</Application>
  <Pages>3</Pages>
  <Words>959</Words>
  <Characters>6640</Characters>
  <CharactersWithSpaces>7475</CharactersWithSpaces>
  <Paragraphs>119</Paragraphs>
  <Company>Aegean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2017-09-13T11:33:00Z</dcterms:created>
  <dc:creator>ska</dc:creator>
  <dc:description/>
  <dc:language>en-US</dc:language>
  <cp:lastModifiedBy>Xalkia Sofia</cp:lastModifiedBy>
  <cp:lastPrinted>2014-04-24T14:33:00Z</cp:lastPrinted>
  <dcterms:modified xsi:type="dcterms:W3CDTF">2017-10-23T07:21:00Z</dcterms:modified>
  <cp:revision>9</cp:revision>
  <dc:subject/>
  <dc:title>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Aegean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