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1054" w:hanging="0"/>
        <w:jc w:val="center"/>
        <w:rPr>
          <w:rFonts w:ascii="Calibri" w:hAnsi="Calibri" w:eastAsia="Times New Roman" w:cs="Calibri"/>
          <w:lang w:eastAsia="el-GR"/>
        </w:rPr>
      </w:pPr>
      <w:bookmarkStart w:id="0" w:name="_GoBack"/>
      <w:bookmarkEnd w:id="0"/>
      <w:r>
        <w:rPr/>
        <w:drawing>
          <wp:inline distT="0" distB="0" distL="0" distR="6350">
            <wp:extent cx="831850" cy="838200"/>
            <wp:effectExtent l="0" t="0" r="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figa"/>
                    <pic:cNvPicPr>
                      <a:picLocks noChangeAspect="1" noChangeArrowheads="1"/>
                    </pic:cNvPicPr>
                  </pic:nvPicPr>
                  <pic:blipFill>
                    <a:blip r:embed="rId2"/>
                    <a:stretch>
                      <a:fillRect/>
                    </a:stretch>
                  </pic:blipFill>
                  <pic:spPr bwMode="auto">
                    <a:xfrm>
                      <a:off x="0" y="0"/>
                      <a:ext cx="831850" cy="838200"/>
                    </a:xfrm>
                    <a:prstGeom prst="rect">
                      <a:avLst/>
                    </a:prstGeom>
                  </pic:spPr>
                </pic:pic>
              </a:graphicData>
            </a:graphic>
          </wp:inline>
        </w:drawing>
      </w:r>
    </w:p>
    <w:p>
      <w:pPr>
        <w:pStyle w:val="Normal"/>
        <w:numPr>
          <w:ilvl w:val="0"/>
          <w:numId w:val="0"/>
        </w:numPr>
        <w:spacing w:lineRule="auto" w:line="240" w:before="0" w:after="0"/>
        <w:ind w:right="-1054" w:hanging="0"/>
        <w:jc w:val="center"/>
        <w:outlineLvl w:val="0"/>
        <w:rPr>
          <w:rFonts w:ascii="Calibri" w:hAnsi="Calibri" w:eastAsia="Times New Roman" w:cs="Calibri"/>
          <w:b/>
          <w:b/>
          <w:bCs/>
          <w:lang w:eastAsia="el-GR"/>
        </w:rPr>
      </w:pPr>
      <w:r>
        <w:rPr>
          <w:rFonts w:eastAsia="Times New Roman" w:cs="Calibri"/>
          <w:b/>
          <w:bCs/>
          <w:lang w:eastAsia="el-GR"/>
        </w:rPr>
        <w:t>ΠΑΝΕΠΙΣΤΗΜΙΟ ΑΙΓΑΙΟΥ</w:t>
      </w:r>
    </w:p>
    <w:p>
      <w:pPr>
        <w:pStyle w:val="Normal"/>
        <w:spacing w:lineRule="auto" w:line="240" w:before="0" w:after="0"/>
        <w:jc w:val="center"/>
        <w:rPr>
          <w:rFonts w:ascii="Calibri" w:hAnsi="Calibri" w:eastAsia="Times New Roman" w:cs="Calibri"/>
          <w:b/>
          <w:b/>
          <w:bCs/>
          <w:lang w:eastAsia="el-GR"/>
        </w:rPr>
      </w:pPr>
      <w:r>
        <w:rPr>
          <w:rFonts w:eastAsia="Times New Roman" w:cs="Calibri"/>
          <w:b/>
          <w:bCs/>
          <w:lang w:eastAsia="el-GR"/>
        </w:rPr>
        <w:t>ΤΜΗΜΑ ΜΕΣΟΓΕΙΑΚΩΝ ΣΠΟΥΔΩΝ</w:t>
      </w:r>
    </w:p>
    <w:p>
      <w:pPr>
        <w:pStyle w:val="Normal"/>
        <w:keepNext/>
        <w:numPr>
          <w:ilvl w:val="0"/>
          <w:numId w:val="0"/>
        </w:numPr>
        <w:spacing w:lineRule="auto" w:line="240" w:before="0" w:after="0"/>
        <w:jc w:val="center"/>
        <w:outlineLvl w:val="1"/>
        <w:rPr>
          <w:rFonts w:ascii="Calibri" w:hAnsi="Calibri" w:eastAsia="Times New Roman" w:cs="Calibri"/>
          <w:b/>
          <w:b/>
          <w:bCs/>
          <w:lang w:eastAsia="el-GR"/>
        </w:rPr>
      </w:pPr>
      <w:r>
        <w:rPr>
          <w:rFonts w:eastAsia="Times New Roman" w:cs="Calibri"/>
          <w:b/>
          <w:bCs/>
          <w:lang w:eastAsia="el-GR"/>
        </w:rPr>
        <w:t>ΜΕΤΑΠΤΥΧΙΑΚΟ ΠΡΟΓΡΑΜΜΑ ΣΠΟΥΔΩΝ: «ΕΦΑΡΜΟΣΜΕΝΕΣ ΑΡΧΑΙΟΛΟΓΙΚΕΣ ΕΠΙΣΤΗΜΕΣ»</w:t>
      </w:r>
    </w:p>
    <w:p>
      <w:pPr>
        <w:pStyle w:val="Normal"/>
        <w:keepNext/>
        <w:numPr>
          <w:ilvl w:val="0"/>
          <w:numId w:val="0"/>
        </w:numPr>
        <w:spacing w:lineRule="auto" w:line="240" w:before="0" w:after="0"/>
        <w:jc w:val="center"/>
        <w:outlineLvl w:val="1"/>
        <w:rPr>
          <w:rFonts w:ascii="Calibri" w:hAnsi="Calibri" w:eastAsia="Times New Roman" w:cs="Calibri"/>
          <w:b/>
          <w:b/>
          <w:bCs/>
          <w:lang w:eastAsia="el-GR"/>
        </w:rPr>
      </w:pPr>
      <w:r>
        <w:rPr>
          <w:rFonts w:eastAsia="Times New Roman" w:cs="Calibri"/>
          <w:b/>
          <w:bCs/>
          <w:lang w:eastAsia="el-GR"/>
        </w:rPr>
      </w:r>
    </w:p>
    <w:p>
      <w:pPr>
        <w:pStyle w:val="Normal"/>
        <w:numPr>
          <w:ilvl w:val="0"/>
          <w:numId w:val="0"/>
        </w:numPr>
        <w:spacing w:lineRule="auto" w:line="240" w:before="0" w:after="0"/>
        <w:jc w:val="center"/>
        <w:outlineLvl w:val="0"/>
        <w:rPr>
          <w:rFonts w:ascii="Calibri" w:hAnsi="Calibri" w:eastAsia="Arial Unicode MS" w:cs="Calibri"/>
          <w:b/>
          <w:b/>
          <w:bCs/>
          <w:lang w:eastAsia="el-GR"/>
        </w:rPr>
      </w:pPr>
      <w:r>
        <w:rPr>
          <w:rFonts w:eastAsia="Arial Unicode MS" w:cs="Calibri"/>
          <w:b/>
          <w:bCs/>
          <w:lang w:eastAsia="el-GR"/>
        </w:rPr>
        <w:t xml:space="preserve"> </w:t>
      </w:r>
      <w:r>
        <w:rPr>
          <w:rFonts w:eastAsia="Arial Unicode MS" w:cs="Calibri"/>
          <w:b/>
          <w:bCs/>
          <w:lang w:eastAsia="el-GR"/>
        </w:rPr>
        <w:t xml:space="preserve">ΠΡΟΣΚΛΗΣΗ ΕΚΔΗΛΩΣΗΣ ΕΝΔΙΑΦΕΡΟΝΤΟΣ </w:t>
      </w:r>
    </w:p>
    <w:p>
      <w:pPr>
        <w:pStyle w:val="Normal"/>
        <w:numPr>
          <w:ilvl w:val="0"/>
          <w:numId w:val="0"/>
        </w:numPr>
        <w:spacing w:lineRule="auto" w:line="240" w:before="0" w:after="0"/>
        <w:jc w:val="center"/>
        <w:outlineLvl w:val="0"/>
        <w:rPr>
          <w:rFonts w:ascii="Calibri" w:hAnsi="Calibri" w:eastAsia="Arial Unicode MS" w:cs="Calibri"/>
          <w:b/>
          <w:b/>
          <w:bCs/>
          <w:lang w:eastAsia="el-GR"/>
        </w:rPr>
      </w:pPr>
      <w:r>
        <w:rPr>
          <w:rFonts w:eastAsia="Arial Unicode MS" w:cs="Calibri"/>
          <w:b/>
          <w:bCs/>
          <w:lang w:eastAsia="el-GR"/>
        </w:rPr>
        <w:t>ΓΙΑ ΤΗΝ ΕΠΙΛΟΓΗ ΜΕΤΑΠΤΥΧΙΑΚΩΝ ΦΟΙΤΗΤΩΝ ΚΑΙ ΦΟΙΤΗΤΡΙΩΝ</w:t>
      </w:r>
    </w:p>
    <w:p>
      <w:pPr>
        <w:pStyle w:val="Normal"/>
        <w:spacing w:lineRule="auto" w:line="240" w:before="0" w:after="0"/>
        <w:jc w:val="center"/>
        <w:rPr>
          <w:rFonts w:ascii="Calibri" w:hAnsi="Calibri" w:eastAsia="Times New Roman" w:cs="Calibri"/>
          <w:b/>
          <w:b/>
          <w:bCs/>
          <w:lang w:eastAsia="el-GR"/>
        </w:rPr>
      </w:pPr>
      <w:r>
        <w:rPr>
          <w:rFonts w:eastAsia="Times New Roman" w:cs="Calibri"/>
          <w:b/>
          <w:bCs/>
          <w:lang w:eastAsia="el-GR"/>
        </w:rPr>
        <w:t>ΤΟ ΑΚΑΔΗΜΑΪΚΟ ΕΤΟΣ 2017- 2018</w:t>
      </w:r>
    </w:p>
    <w:p>
      <w:pPr>
        <w:pStyle w:val="Normal"/>
        <w:spacing w:lineRule="auto" w:line="240" w:before="0" w:after="0"/>
        <w:rPr>
          <w:rFonts w:ascii="Calibri" w:hAnsi="Calibri" w:eastAsia="Arial Unicode MS" w:cs="Calibri"/>
          <w:bCs/>
          <w:lang w:eastAsia="el-GR"/>
        </w:rPr>
      </w:pPr>
      <w:r>
        <w:rPr>
          <w:rFonts w:eastAsia="Arial Unicode MS" w:cs="Calibri"/>
          <w:bCs/>
          <w:lang w:eastAsia="el-GR"/>
        </w:rPr>
      </w:r>
    </w:p>
    <w:p>
      <w:pPr>
        <w:pStyle w:val="Normal"/>
        <w:spacing w:lineRule="auto" w:line="240" w:before="0" w:after="0"/>
        <w:ind w:left="5040" w:firstLine="720"/>
        <w:jc w:val="right"/>
        <w:rPr>
          <w:rFonts w:ascii="Calibri" w:hAnsi="Calibri" w:eastAsia="Times New Roman" w:cs="Calibri"/>
          <w:b/>
          <w:b/>
          <w:bCs/>
          <w:lang w:eastAsia="el-GR"/>
        </w:rPr>
      </w:pPr>
      <w:r>
        <w:rPr>
          <w:rFonts w:eastAsia="Arial Unicode MS" w:cs="Calibri"/>
          <w:bCs/>
          <w:lang w:eastAsia="el-GR"/>
        </w:rPr>
        <w:t>Ρόδος, 19/07/2017</w:t>
      </w:r>
    </w:p>
    <w:p>
      <w:pPr>
        <w:pStyle w:val="Normal"/>
        <w:spacing w:lineRule="auto" w:line="240" w:before="0" w:after="0"/>
        <w:ind w:left="5040" w:firstLine="720"/>
        <w:jc w:val="center"/>
        <w:rPr>
          <w:rFonts w:ascii="Calibri" w:hAnsi="Calibri" w:eastAsia="Arial Unicode MS" w:cs="Calibri"/>
          <w:bCs/>
          <w:lang w:val="en-US" w:eastAsia="el-GR"/>
        </w:rPr>
      </w:pPr>
      <w:r>
        <w:rPr>
          <w:rFonts w:eastAsia="Arial Unicode MS" w:cs="Calibri"/>
          <w:bCs/>
          <w:lang w:eastAsia="el-GR"/>
        </w:rPr>
        <w:t xml:space="preserve">             </w:t>
      </w:r>
      <w:r>
        <w:rPr>
          <w:rFonts w:eastAsia="Arial Unicode MS" w:cs="Calibri"/>
          <w:bCs/>
          <w:lang w:val="en-US" w:eastAsia="el-GR"/>
        </w:rPr>
        <w:t xml:space="preserve">          </w:t>
      </w:r>
      <w:r>
        <w:rPr>
          <w:rFonts w:eastAsia="Arial Unicode MS" w:cs="Calibri"/>
          <w:bCs/>
          <w:lang w:eastAsia="el-GR"/>
        </w:rPr>
        <w:t xml:space="preserve">  </w:t>
      </w:r>
      <w:r>
        <w:rPr>
          <w:rFonts w:eastAsia="Arial Unicode MS" w:cs="Calibri"/>
          <w:bCs/>
          <w:lang w:eastAsia="el-GR"/>
        </w:rPr>
        <w:t>Α.Π.:1</w:t>
      </w:r>
      <w:r>
        <w:rPr>
          <w:rFonts w:eastAsia="Arial Unicode MS" w:cs="Calibri"/>
          <w:bCs/>
          <w:lang w:val="en-US" w:eastAsia="el-GR"/>
        </w:rPr>
        <w:t>288</w:t>
      </w:r>
    </w:p>
    <w:p>
      <w:pPr>
        <w:pStyle w:val="Normal"/>
        <w:spacing w:lineRule="auto" w:line="240" w:before="0" w:after="0"/>
        <w:jc w:val="both"/>
        <w:rPr>
          <w:rFonts w:ascii="Calibri" w:hAnsi="Calibri" w:eastAsia="Times New Roman" w:cs="Calibri"/>
          <w:lang w:eastAsia="el-GR"/>
        </w:rPr>
      </w:pPr>
      <w:r>
        <w:rPr>
          <w:rFonts w:eastAsia="Times New Roman" w:cs="Calibri"/>
          <w:lang w:eastAsia="el-GR"/>
        </w:rPr>
      </w:r>
    </w:p>
    <w:p>
      <w:pPr>
        <w:pStyle w:val="Normal"/>
        <w:spacing w:lineRule="auto" w:line="240" w:before="0" w:after="0"/>
        <w:jc w:val="both"/>
        <w:rPr>
          <w:rFonts w:ascii="Calibri" w:hAnsi="Calibri" w:eastAsia="Times New Roman" w:cs="Calibri"/>
          <w:lang w:eastAsia="el-GR"/>
        </w:rPr>
      </w:pPr>
      <w:r>
        <w:rPr>
          <w:rFonts w:eastAsia="Times New Roman" w:cs="Calibri"/>
          <w:lang w:eastAsia="el-GR"/>
        </w:rPr>
        <w:t>Το Τμήμα Μεσογειακών Σπουδών οργανώνει και λειτουργεί από το ακαδημαϊκό έτος 2015-2016</w:t>
      </w:r>
      <w:r>
        <w:rPr>
          <w:rFonts w:eastAsia="Times New Roman" w:cs="Calibri"/>
          <w:color w:val="FF0000"/>
          <w:lang w:eastAsia="el-GR"/>
        </w:rPr>
        <w:t xml:space="preserve"> </w:t>
      </w:r>
      <w:r>
        <w:rPr>
          <w:rFonts w:eastAsia="Times New Roman" w:cs="Calibri"/>
          <w:lang w:eastAsia="el-GR"/>
        </w:rPr>
        <w:t>Πρόγραμμα Μεταπτυχιακών Σπουδών με τίτλο «Εφαρμοσμένες Αρχαιολογικές Επιστήμες» (ΦΕΚ 18.13/01/2017, τεύχος Δεύτερο), το οποίο οδηγεί σε Μεταπτυχιακό Δίπλωμα Ειδίκευσης στις «Εφαρμοσμένες Αρχαιολογικές Επιστήμες».</w:t>
      </w:r>
    </w:p>
    <w:p>
      <w:pPr>
        <w:pStyle w:val="Normal"/>
        <w:spacing w:lineRule="auto" w:line="240" w:before="0" w:after="0"/>
        <w:jc w:val="both"/>
        <w:rPr>
          <w:rFonts w:ascii="Calibri" w:hAnsi="Calibri" w:eastAsia="Times New Roman" w:cs="Calibri"/>
          <w:lang w:eastAsia="el-GR"/>
        </w:rPr>
      </w:pPr>
      <w:r>
        <w:rPr>
          <w:rFonts w:eastAsia="Times New Roman" w:cs="Calibri"/>
          <w:lang w:eastAsia="el-GR"/>
        </w:rPr>
      </w:r>
    </w:p>
    <w:p>
      <w:pPr>
        <w:pStyle w:val="Normal"/>
        <w:jc w:val="both"/>
        <w:rPr>
          <w:rFonts w:ascii="Calibri" w:hAnsi="Calibri" w:cs="Calibri"/>
          <w:bCs/>
        </w:rPr>
      </w:pPr>
      <w:r>
        <w:rPr>
          <w:rFonts w:eastAsia="Times New Roman" w:cs="Calibri"/>
          <w:lang w:eastAsia="el-GR"/>
        </w:rPr>
        <w:t xml:space="preserve">Αντικείμενο και στόχοι του Π.Μ.Σ. είναι </w:t>
      </w:r>
      <w:r>
        <w:rPr>
          <w:rFonts w:cs="Calibri"/>
        </w:rPr>
        <w:t>Αντικείμενο του Προγράμματος Μεταπτυχιακών Σπουδών είναι η</w:t>
      </w:r>
      <w:r>
        <w:rPr>
          <w:rFonts w:cs="Calibri"/>
          <w:bCs/>
        </w:rPr>
        <w:t xml:space="preserve"> </w:t>
      </w:r>
      <w:r>
        <w:rPr>
          <w:rFonts w:cs="Calibri"/>
        </w:rPr>
        <w:t xml:space="preserve">μεταπτυχιακή Ειδίκευση επιστημόνων στις «Εφαρμοσμένες Αρχαιολογικές Επιστήμες» και ειδικότερα η εκπαίδευση στελεχών εξειδικευμένων στην </w:t>
      </w:r>
      <w:r>
        <w:rPr>
          <w:rFonts w:cs="Calibri"/>
          <w:bCs/>
        </w:rPr>
        <w:t xml:space="preserve">διεξαγωγή έρευνας και εφαρμογών στην πολιτιστική κληρονομιά μέσα από την επιστήμη και τεχνολογία. </w:t>
      </w:r>
    </w:p>
    <w:p>
      <w:pPr>
        <w:pStyle w:val="Normal"/>
        <w:jc w:val="both"/>
        <w:rPr>
          <w:rFonts w:ascii="Calibri" w:hAnsi="Calibri" w:cs="Calibri"/>
        </w:rPr>
      </w:pPr>
      <w:r>
        <w:rPr>
          <w:rFonts w:cs="Calibri"/>
        </w:rPr>
        <w:t>Το πρόγραμμα απευθύνεται: (i) σε εκπαιδευτικούς και επαγγελματίες της εκπαίδευσης, (ii) σε στελέχη οργανισμών και επιχειρήσεων του δημόσιου και ιδιωτικού τομέα που ασχολούνται με την αρχαιολογία και πολιτιστική κληρονομιά, (</w:t>
      </w:r>
      <w:r>
        <w:rPr>
          <w:rFonts w:cs="Calibri"/>
          <w:lang w:val="en-US"/>
        </w:rPr>
        <w:t>iii</w:t>
      </w:r>
      <w:r>
        <w:rPr>
          <w:rFonts w:cs="Calibri"/>
        </w:rPr>
        <w:t>) επιστήμονες/ ερευνητές θετικών ή/και ανθρωπιστικών σπουδών για υλοποίηση προγραμμάτων εικονικής αρχαιολογίας, μουσειολογίας, πολιτιστικό τουρισμό, αναπτυξιακά έργα αρχαιολογικού περιεχομένου και εκπόνηση διδακτορικού.</w:t>
      </w:r>
    </w:p>
    <w:p>
      <w:pPr>
        <w:pStyle w:val="Normal"/>
        <w:spacing w:lineRule="auto" w:line="240" w:before="0" w:after="0"/>
        <w:jc w:val="both"/>
        <w:rPr>
          <w:rFonts w:ascii="Calibri" w:hAnsi="Calibri" w:eastAsia="Times New Roman" w:cs="Calibri"/>
          <w:lang w:eastAsia="el-GR"/>
        </w:rPr>
      </w:pPr>
      <w:r>
        <w:rPr>
          <w:rFonts w:eastAsia="Times New Roman" w:cs="Calibri"/>
          <w:lang w:eastAsia="el-GR"/>
        </w:rPr>
        <w:t>Για την απόκτηση του Μ.Δ.Ε. απαιτείται η επιτυχής ολοκλήρωση δέκα (10) μαθημάτων (α’ και β’  εξαμήνου) και  της Μεταπτυχιακής Διπλωματικής Εργασίας (γ’ εξάμηνο).</w:t>
      </w:r>
    </w:p>
    <w:p>
      <w:pPr>
        <w:pStyle w:val="Normal"/>
        <w:spacing w:lineRule="auto" w:line="240" w:before="0" w:after="0"/>
        <w:jc w:val="both"/>
        <w:rPr>
          <w:rFonts w:ascii="Calibri" w:hAnsi="Calibri" w:eastAsia="Times New Roman" w:cs="Calibri"/>
          <w:lang w:eastAsia="el-GR"/>
        </w:rPr>
      </w:pPr>
      <w:r>
        <w:rPr>
          <w:rFonts w:eastAsia="Times New Roman" w:cs="Calibri"/>
          <w:lang w:eastAsia="el-GR"/>
        </w:rPr>
      </w:r>
    </w:p>
    <w:p>
      <w:pPr>
        <w:pStyle w:val="Normal"/>
        <w:spacing w:lineRule="auto" w:line="240" w:before="0" w:after="0"/>
        <w:jc w:val="both"/>
        <w:rPr>
          <w:rFonts w:ascii="Calibri" w:hAnsi="Calibri" w:eastAsia="Times New Roman" w:cs="Calibri"/>
          <w:b/>
          <w:b/>
          <w:lang w:eastAsia="el-GR"/>
        </w:rPr>
      </w:pPr>
      <w:r>
        <w:rPr>
          <w:rFonts w:eastAsia="Times New Roman" w:cs="Calibri"/>
          <w:lang w:eastAsia="el-GR"/>
        </w:rPr>
        <w:t>Κατά το ακαδημαϊκό έτος 2017-2018, θα εισαχθούν στο  Π.Μ.Σ. «</w:t>
      </w:r>
      <w:r>
        <w:rPr>
          <w:rFonts w:eastAsia="Times New Roman" w:cs="Calibri"/>
          <w:i/>
          <w:lang w:eastAsia="el-GR"/>
        </w:rPr>
        <w:t>Εφαρμοσμένες Αρχαιολογικές Επιστήμες</w:t>
      </w:r>
      <w:r>
        <w:rPr>
          <w:rFonts w:eastAsia="Times New Roman" w:cs="Calibri"/>
          <w:lang w:eastAsia="el-GR"/>
        </w:rPr>
        <w:t>» κατ’ ανώτατο όριο 40 μεταπτυχιακοί/ες φοιτητές/τριες</w:t>
      </w:r>
      <w:r>
        <w:rPr>
          <w:rFonts w:eastAsia="Times New Roman" w:cs="Calibri"/>
          <w:b/>
          <w:lang w:eastAsia="el-GR"/>
        </w:rPr>
        <w:t xml:space="preserve">.  </w:t>
      </w:r>
    </w:p>
    <w:p>
      <w:pPr>
        <w:pStyle w:val="Normal"/>
        <w:spacing w:lineRule="auto" w:line="240" w:before="0" w:after="0"/>
        <w:jc w:val="both"/>
        <w:rPr>
          <w:rFonts w:ascii="Calibri" w:hAnsi="Calibri" w:eastAsia="Times New Roman" w:cs="Calibri"/>
          <w:lang w:eastAsia="el-GR"/>
        </w:rPr>
      </w:pPr>
      <w:r>
        <w:rPr>
          <w:rFonts w:eastAsia="Times New Roman" w:cs="Calibri"/>
          <w:lang w:eastAsia="el-GR"/>
        </w:rPr>
      </w:r>
    </w:p>
    <w:p>
      <w:pPr>
        <w:pStyle w:val="Normal"/>
        <w:spacing w:lineRule="auto" w:line="240" w:before="0" w:after="0"/>
        <w:jc w:val="both"/>
        <w:rPr>
          <w:rFonts w:ascii="Calibri" w:hAnsi="Calibri" w:eastAsia="Times New Roman" w:cs="Calibri"/>
          <w:lang w:eastAsia="el-GR"/>
        </w:rPr>
      </w:pPr>
      <w:r>
        <w:rPr>
          <w:rFonts w:eastAsia="Times New Roman" w:cs="Calibri"/>
          <w:lang w:eastAsia="el-GR"/>
        </w:rPr>
        <w:t>Στο Π.Μ.Σ. γίνονται δεκτοί/ές πτυχιούχοι/ες του ιδίου Τμήματος και όλων των Τμημάτων που είναι συναφή με το γνωστικό αντικείμενο των Φυσικών, Θετικών, Εφαρμοσμένων, Ανθρωπιστικών και Κοινωνικών Επιστημών των Πανεπιστημίων της ημεδαπής ή σχετικών αναγνωρισμένων ομοταγών Ιδρυμάτων της αλλοδαπής, καθώς και πτυχιούχοι/ες Τμημάτων ΤΕΙ συναφούς γνωστικού αντικειμένου</w:t>
      </w:r>
      <w:r>
        <w:rPr>
          <w:rFonts w:eastAsia="Times New Roman" w:cs="Calibri"/>
          <w:i/>
          <w:lang w:eastAsia="el-GR"/>
        </w:rPr>
        <w:t>.</w:t>
      </w:r>
      <w:r>
        <w:rPr>
          <w:rFonts w:eastAsia="Times New Roman" w:cs="Calibri"/>
          <w:lang w:eastAsia="el-GR"/>
        </w:rPr>
        <w:t xml:space="preserve"> Επίσης, γίνονται δεκτοί επί πτυχίω φοιτητές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Π.Μ.Σ.</w:t>
      </w:r>
    </w:p>
    <w:p>
      <w:pPr>
        <w:pStyle w:val="Normal"/>
        <w:spacing w:lineRule="auto" w:line="240" w:before="0" w:after="0"/>
        <w:jc w:val="both"/>
        <w:rPr>
          <w:rFonts w:ascii="Calibri" w:hAnsi="Calibri" w:eastAsia="Times New Roman" w:cs="Calibri"/>
          <w:lang w:eastAsia="el-GR"/>
        </w:rPr>
      </w:pPr>
      <w:r>
        <w:rPr>
          <w:rFonts w:eastAsia="Times New Roman" w:cs="Calibri"/>
          <w:lang w:eastAsia="el-GR"/>
        </w:rPr>
      </w:r>
    </w:p>
    <w:p>
      <w:pPr>
        <w:pStyle w:val="Normal"/>
        <w:spacing w:lineRule="auto" w:line="240" w:before="0" w:after="0"/>
        <w:jc w:val="both"/>
        <w:rPr>
          <w:rFonts w:ascii="Calibri" w:hAnsi="Calibri" w:eastAsia="Times New Roman" w:cs="Calibri"/>
          <w:lang w:eastAsia="el-GR"/>
        </w:rPr>
      </w:pPr>
      <w:r>
        <w:rPr>
          <w:rFonts w:eastAsia="Times New Roman" w:cs="Calibri"/>
          <w:lang w:eastAsia="el-GR"/>
        </w:rPr>
        <w:t xml:space="preserve">Το Πρόγραμμα είναι </w:t>
      </w:r>
      <w:r>
        <w:rPr>
          <w:rFonts w:eastAsia="Times New Roman" w:cs="Calibri"/>
          <w:i/>
          <w:lang w:eastAsia="el-GR"/>
        </w:rPr>
        <w:t>πλήρους</w:t>
      </w:r>
      <w:r>
        <w:rPr>
          <w:rFonts w:eastAsia="Times New Roman" w:cs="Calibri"/>
          <w:lang w:eastAsia="el-GR"/>
        </w:rPr>
        <w:t xml:space="preserve"> φοίτησης και η χρονική διάρκεια για την απονομή του Μ.Δ.Ε. είναι τρία (3) διδακτικά εξάμηνα. </w:t>
      </w:r>
    </w:p>
    <w:p>
      <w:pPr>
        <w:pStyle w:val="Normal"/>
        <w:spacing w:lineRule="auto" w:line="240" w:before="0" w:after="0"/>
        <w:jc w:val="both"/>
        <w:rPr>
          <w:rFonts w:ascii="Calibri" w:hAnsi="Calibri" w:eastAsia="Times New Roman" w:cs="Calibri"/>
          <w:lang w:eastAsia="el-GR"/>
        </w:rPr>
      </w:pPr>
      <w:r>
        <w:rPr>
          <w:rFonts w:eastAsia="Times New Roman" w:cs="Calibri"/>
          <w:lang w:eastAsia="el-GR"/>
        </w:rPr>
      </w:r>
    </w:p>
    <w:p>
      <w:pPr>
        <w:pStyle w:val="Normal"/>
        <w:jc w:val="both"/>
        <w:rPr>
          <w:rFonts w:ascii="Calibri" w:hAnsi="Calibri" w:cs="Calibri"/>
          <w:bCs/>
        </w:rPr>
      </w:pPr>
      <w:r>
        <w:rPr>
          <w:rFonts w:eastAsia="Times New Roman" w:cs="Calibri"/>
          <w:lang w:eastAsia="el-GR"/>
        </w:rPr>
        <w:t xml:space="preserve">Για την παρακολούθηση του Π.Μ.Σ. προβλέπεται η καταβολή διδάκτρων, ύψους 3000€. </w:t>
      </w:r>
      <w:r>
        <w:rPr>
          <w:rFonts w:cs="Calibri"/>
          <w:bCs/>
        </w:rPr>
        <w:t>Το ποσό αυτό θα καταβληθεί σε 3 ισόποσες δόσεις. Πιο αναλυτικά, το ποσό των 1000€ θα καταβληθεί κατά την εγγραφή, το ποσό των 1000€ με την έναρξη του δευτέρου εξαμήνου, ενώ το εναπομείναν ποσό των 1000€ με την έναρξη του τρίτου εξαμήνου.</w:t>
      </w:r>
    </w:p>
    <w:p>
      <w:pPr>
        <w:pStyle w:val="Normal"/>
        <w:spacing w:lineRule="auto" w:line="240" w:before="0" w:after="0"/>
        <w:jc w:val="both"/>
        <w:rPr>
          <w:rFonts w:ascii="Calibri" w:hAnsi="Calibri" w:eastAsia="Times New Roman" w:cs="Calibri"/>
          <w:lang w:eastAsia="el-GR"/>
        </w:rPr>
      </w:pPr>
      <w:r>
        <w:rPr>
          <w:rFonts w:eastAsia="Times New Roman" w:cs="Calibri"/>
          <w:lang w:eastAsia="el-GR"/>
        </w:rPr>
        <w:t>Στους μεταπτυχιακούς/ες φοιτητές/τριες παρέχεται αριθμός υποτροφιών, δυνατότητα δωρεάν σίτισης και στέγασης σύμφωνα με τα προβλεπόμενα στο Νόμο και στους Κανονισμούς-Αποφάσεις του Ιδρύματος.</w:t>
      </w:r>
    </w:p>
    <w:p>
      <w:pPr>
        <w:pStyle w:val="Normal"/>
        <w:spacing w:lineRule="auto" w:line="240" w:before="0" w:after="0"/>
        <w:jc w:val="both"/>
        <w:rPr>
          <w:rFonts w:ascii="Calibri" w:hAnsi="Calibri" w:eastAsia="Times New Roman" w:cs="Calibri"/>
          <w:i/>
          <w:i/>
          <w:color w:val="FF0000"/>
          <w:lang w:eastAsia="el-GR"/>
        </w:rPr>
      </w:pPr>
      <w:r>
        <w:rPr>
          <w:rFonts w:eastAsia="Times New Roman" w:cs="Calibri"/>
          <w:i/>
          <w:color w:val="FF0000"/>
          <w:lang w:eastAsia="el-GR"/>
        </w:rPr>
      </w:r>
    </w:p>
    <w:p>
      <w:pPr>
        <w:pStyle w:val="Normal"/>
        <w:rPr>
          <w:rFonts w:ascii="Calibri" w:hAnsi="Calibri" w:eastAsia="Times New Roman" w:cs="Calibri"/>
          <w:lang w:eastAsia="el-GR"/>
        </w:rPr>
      </w:pPr>
      <w:r>
        <w:rPr>
          <w:rFonts w:eastAsia="Times New Roman" w:cs="Calibri"/>
          <w:lang w:eastAsia="el-GR"/>
        </w:rPr>
        <w:t>H επιλογή των Μεταπτυχιακών Φοιτητριών/τριων γίνεται µε συνεκτίμηση των εξής κυρίως κριτηρίων:</w:t>
      </w:r>
    </w:p>
    <w:tbl>
      <w:tblPr>
        <w:tblW w:w="920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675"/>
        <w:gridCol w:w="6833"/>
        <w:gridCol w:w="1701"/>
      </w:tblGrid>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b/>
                <w:b/>
                <w:sz w:val="22"/>
                <w:szCs w:val="22"/>
              </w:rPr>
            </w:pPr>
            <w:r>
              <w:rPr>
                <w:b/>
                <w:sz w:val="22"/>
                <w:szCs w:val="22"/>
              </w:rPr>
              <w:t>Α/Α</w:t>
            </w:r>
          </w:p>
        </w:tc>
        <w:tc>
          <w:tcPr>
            <w:tcW w:w="6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both"/>
              <w:rPr>
                <w:b/>
                <w:b/>
                <w:sz w:val="22"/>
                <w:szCs w:val="22"/>
              </w:rPr>
            </w:pPr>
            <w:r>
              <w:rPr>
                <w:b/>
                <w:sz w:val="22"/>
                <w:szCs w:val="22"/>
              </w:rPr>
              <w:t>Κριτήριο</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b/>
                <w:b/>
                <w:sz w:val="22"/>
                <w:szCs w:val="22"/>
                <w:lang w:val="en-US"/>
              </w:rPr>
            </w:pPr>
            <w:r>
              <w:rPr>
                <w:b/>
                <w:sz w:val="22"/>
                <w:szCs w:val="22"/>
              </w:rPr>
              <w:t>Βαθμοί (</w:t>
            </w:r>
            <w:r>
              <w:rPr>
                <w:b/>
                <w:sz w:val="22"/>
                <w:szCs w:val="22"/>
                <w:lang w:val="en-US"/>
              </w:rPr>
              <w:t>max.)</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color w:val="00000A"/>
                <w:sz w:val="22"/>
                <w:szCs w:val="22"/>
              </w:rPr>
            </w:pPr>
            <w:r>
              <w:rPr>
                <w:color w:val="00000A"/>
                <w:sz w:val="22"/>
                <w:szCs w:val="22"/>
              </w:rPr>
              <w:t>1</w:t>
            </w:r>
          </w:p>
        </w:tc>
        <w:tc>
          <w:tcPr>
            <w:tcW w:w="6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both"/>
              <w:rPr>
                <w:color w:val="00000A"/>
                <w:sz w:val="22"/>
                <w:szCs w:val="22"/>
              </w:rPr>
            </w:pPr>
            <w:r>
              <w:rPr>
                <w:color w:val="00000A"/>
                <w:sz w:val="22"/>
                <w:szCs w:val="22"/>
              </w:rPr>
              <w:t>Συνάφεια του προπτυχιακού τίτλου σπουδών ή παρακολούθηση προπτυχιακών μαθημάτων σχετικών με την ειδίκευση του Π.Μ.Σ.</w:t>
            </w:r>
          </w:p>
          <w:p>
            <w:pPr>
              <w:pStyle w:val="Default"/>
              <w:jc w:val="both"/>
              <w:rPr>
                <w:color w:val="00000A"/>
                <w:sz w:val="22"/>
                <w:szCs w:val="22"/>
              </w:rPr>
            </w:pPr>
            <w:r>
              <w:rPr>
                <w:color w:val="00000A"/>
                <w:sz w:val="22"/>
                <w:szCs w:val="22"/>
              </w:rPr>
              <w:t xml:space="preserve">(ως μαθήματα ειδίκευσης νοούνται όσα προπτυχιακά μαθήματα εμπίπτουν στους τομείς της αρχαιολογίας Αν. Μεσογείου, αρχαιολογικών επιστημών, Ιστορίας Τέχνης &amp; Αρχαιολογίας, Πολιτισμικών Σπουδών, Ψηφιακής Κληρονομιάς, συντήρησης αρχαιοτήτων, πολιτισμική διαχείριση)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b/>
                <w:b/>
                <w:color w:val="00000A"/>
                <w:sz w:val="22"/>
                <w:szCs w:val="22"/>
              </w:rPr>
            </w:pPr>
            <w:r>
              <w:rPr>
                <w:b/>
                <w:color w:val="00000A"/>
                <w:sz w:val="22"/>
                <w:szCs w:val="22"/>
                <w:lang w:val="en-US"/>
              </w:rPr>
              <w:t>1</w:t>
            </w:r>
            <w:r>
              <w:rPr>
                <w:b/>
                <w:color w:val="00000A"/>
                <w:sz w:val="22"/>
                <w:szCs w:val="22"/>
              </w:rPr>
              <w:t>0</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color w:val="00000A"/>
                <w:sz w:val="22"/>
                <w:szCs w:val="22"/>
              </w:rPr>
            </w:pPr>
            <w:r>
              <w:rPr>
                <w:color w:val="00000A"/>
                <w:sz w:val="22"/>
                <w:szCs w:val="22"/>
              </w:rPr>
              <w:t>2</w:t>
            </w:r>
          </w:p>
        </w:tc>
        <w:tc>
          <w:tcPr>
            <w:tcW w:w="6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both"/>
              <w:rPr>
                <w:color w:val="00000A"/>
                <w:sz w:val="22"/>
                <w:szCs w:val="22"/>
              </w:rPr>
            </w:pPr>
            <w:r>
              <w:rPr>
                <w:color w:val="00000A"/>
                <w:sz w:val="22"/>
                <w:szCs w:val="22"/>
              </w:rPr>
              <w:t>Προπτυχιακή διπλωματική εργασία και η συνάφειά της με την ειδίκευση του Π.Μ.Σ.</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b/>
                <w:b/>
                <w:color w:val="00000A"/>
                <w:sz w:val="22"/>
                <w:szCs w:val="22"/>
              </w:rPr>
            </w:pPr>
            <w:r>
              <w:rPr>
                <w:b/>
                <w:color w:val="00000A"/>
                <w:sz w:val="22"/>
                <w:szCs w:val="22"/>
              </w:rPr>
              <w:t>5</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color w:val="00000A"/>
                <w:sz w:val="22"/>
                <w:szCs w:val="22"/>
              </w:rPr>
            </w:pPr>
            <w:r>
              <w:rPr>
                <w:color w:val="00000A"/>
                <w:sz w:val="22"/>
                <w:szCs w:val="22"/>
              </w:rPr>
              <w:t>3</w:t>
            </w:r>
          </w:p>
        </w:tc>
        <w:tc>
          <w:tcPr>
            <w:tcW w:w="6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both"/>
              <w:rPr>
                <w:color w:val="00000A"/>
                <w:sz w:val="22"/>
                <w:szCs w:val="22"/>
              </w:rPr>
            </w:pPr>
            <w:r>
              <w:rPr>
                <w:color w:val="00000A"/>
                <w:sz w:val="22"/>
                <w:szCs w:val="22"/>
              </w:rPr>
              <w:t xml:space="preserve">Ερευνητικό/επιστημονικό ή/και συγγραφικό έργο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b/>
                <w:b/>
                <w:color w:val="00000A"/>
                <w:sz w:val="22"/>
                <w:szCs w:val="22"/>
              </w:rPr>
            </w:pPr>
            <w:r>
              <w:rPr>
                <w:b/>
                <w:color w:val="00000A"/>
                <w:sz w:val="22"/>
                <w:szCs w:val="22"/>
              </w:rPr>
              <w:t>10</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color w:val="00000A"/>
                <w:sz w:val="22"/>
                <w:szCs w:val="22"/>
              </w:rPr>
            </w:pPr>
            <w:r>
              <w:rPr>
                <w:color w:val="00000A"/>
                <w:sz w:val="22"/>
                <w:szCs w:val="22"/>
              </w:rPr>
              <w:t>4</w:t>
            </w:r>
          </w:p>
        </w:tc>
        <w:tc>
          <w:tcPr>
            <w:tcW w:w="6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both"/>
              <w:rPr>
                <w:color w:val="00000A"/>
                <w:sz w:val="22"/>
                <w:szCs w:val="22"/>
              </w:rPr>
            </w:pPr>
            <w:r>
              <w:rPr>
                <w:color w:val="00000A"/>
                <w:sz w:val="22"/>
                <w:szCs w:val="22"/>
              </w:rPr>
              <w:t>Πρόσθετοι πέραν του πρώτου, μεταπτυχιακοί ή προπτυχιακοί τίτλοι σπουδών ή πιστοποιημένα προγράμματα.</w:t>
            </w:r>
          </w:p>
          <w:p>
            <w:pPr>
              <w:pStyle w:val="Default"/>
              <w:jc w:val="both"/>
              <w:rPr>
                <w:color w:val="00000A"/>
                <w:sz w:val="22"/>
                <w:szCs w:val="22"/>
              </w:rPr>
            </w:pPr>
            <w:r>
              <w:rPr>
                <w:color w:val="00000A"/>
                <w:sz w:val="22"/>
                <w:szCs w:val="22"/>
              </w:rPr>
              <w:t xml:space="preserve"> </w:t>
            </w:r>
          </w:p>
          <w:p>
            <w:pPr>
              <w:pStyle w:val="Default"/>
              <w:jc w:val="both"/>
              <w:rPr>
                <w:color w:val="00000A"/>
                <w:sz w:val="22"/>
                <w:szCs w:val="22"/>
              </w:rPr>
            </w:pPr>
            <w:r>
              <w:rPr>
                <w:color w:val="00000A"/>
                <w:sz w:val="22"/>
                <w:szCs w:val="22"/>
              </w:rPr>
              <w:t xml:space="preserve">Κατανέμονται ως ακολούθως: </w:t>
            </w:r>
          </w:p>
          <w:p>
            <w:pPr>
              <w:pStyle w:val="Default"/>
              <w:numPr>
                <w:ilvl w:val="0"/>
                <w:numId w:val="2"/>
              </w:numPr>
              <w:jc w:val="both"/>
              <w:rPr>
                <w:color w:val="00000A"/>
                <w:sz w:val="22"/>
                <w:szCs w:val="22"/>
              </w:rPr>
            </w:pPr>
            <w:r>
              <w:rPr>
                <w:color w:val="00000A"/>
                <w:sz w:val="22"/>
                <w:szCs w:val="22"/>
              </w:rPr>
              <w:t>Μεταπτυχιακό δίπλωμα ειδίκευσης</w:t>
            </w:r>
          </w:p>
          <w:p>
            <w:pPr>
              <w:pStyle w:val="Default"/>
              <w:numPr>
                <w:ilvl w:val="0"/>
                <w:numId w:val="2"/>
              </w:numPr>
              <w:jc w:val="both"/>
              <w:rPr>
                <w:color w:val="00000A"/>
                <w:sz w:val="22"/>
                <w:szCs w:val="22"/>
              </w:rPr>
            </w:pPr>
            <w:r>
              <w:rPr>
                <w:color w:val="00000A"/>
                <w:sz w:val="22"/>
                <w:szCs w:val="22"/>
              </w:rPr>
              <w:t>Δεύτερο πτυχίο ΑΕΙ/ΤΕΙ</w:t>
            </w:r>
          </w:p>
          <w:p>
            <w:pPr>
              <w:pStyle w:val="Default"/>
              <w:numPr>
                <w:ilvl w:val="0"/>
                <w:numId w:val="2"/>
              </w:numPr>
              <w:jc w:val="both"/>
              <w:rPr>
                <w:color w:val="00000A"/>
                <w:sz w:val="22"/>
                <w:szCs w:val="22"/>
              </w:rPr>
            </w:pPr>
            <w:r>
              <w:rPr>
                <w:color w:val="00000A"/>
                <w:sz w:val="22"/>
                <w:szCs w:val="22"/>
              </w:rPr>
              <w:t>Τρίτο πτυχίο ΑΕΙ/ΤΕΙ ή Πιστοποιημένο πρόγραμμα</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b/>
                <w:b/>
                <w:color w:val="00000A"/>
                <w:sz w:val="22"/>
                <w:szCs w:val="22"/>
              </w:rPr>
            </w:pPr>
            <w:r>
              <w:rPr>
                <w:b/>
                <w:color w:val="00000A"/>
                <w:sz w:val="22"/>
                <w:szCs w:val="22"/>
              </w:rPr>
              <w:t>10</w:t>
            </w:r>
          </w:p>
          <w:p>
            <w:pPr>
              <w:pStyle w:val="Default"/>
              <w:jc w:val="center"/>
              <w:rPr>
                <w:color w:val="00000A"/>
                <w:sz w:val="22"/>
                <w:szCs w:val="22"/>
              </w:rPr>
            </w:pPr>
            <w:r>
              <w:rPr>
                <w:color w:val="00000A"/>
                <w:sz w:val="22"/>
                <w:szCs w:val="22"/>
              </w:rPr>
            </w:r>
          </w:p>
          <w:p>
            <w:pPr>
              <w:pStyle w:val="Default"/>
              <w:rPr>
                <w:color w:val="00000A"/>
                <w:sz w:val="22"/>
                <w:szCs w:val="22"/>
              </w:rPr>
            </w:pPr>
            <w:r>
              <w:rPr>
                <w:color w:val="00000A"/>
                <w:sz w:val="22"/>
                <w:szCs w:val="22"/>
              </w:rPr>
              <w:t xml:space="preserve">              </w:t>
            </w:r>
          </w:p>
          <w:p>
            <w:pPr>
              <w:pStyle w:val="Default"/>
              <w:rPr>
                <w:color w:val="00000A"/>
                <w:sz w:val="22"/>
                <w:szCs w:val="22"/>
              </w:rPr>
            </w:pPr>
            <w:r>
              <w:rPr>
                <w:color w:val="00000A"/>
                <w:sz w:val="22"/>
                <w:szCs w:val="22"/>
              </w:rPr>
              <w:t xml:space="preserve">              </w:t>
            </w:r>
            <w:r>
              <w:rPr>
                <w:color w:val="00000A"/>
                <w:sz w:val="22"/>
                <w:szCs w:val="22"/>
              </w:rPr>
              <w:t>5</w:t>
            </w:r>
          </w:p>
          <w:p>
            <w:pPr>
              <w:pStyle w:val="Default"/>
              <w:jc w:val="center"/>
              <w:rPr>
                <w:color w:val="00000A"/>
                <w:sz w:val="22"/>
                <w:szCs w:val="22"/>
              </w:rPr>
            </w:pPr>
            <w:r>
              <w:rPr>
                <w:color w:val="00000A"/>
                <w:sz w:val="22"/>
                <w:szCs w:val="22"/>
              </w:rPr>
              <w:t>3</w:t>
            </w:r>
          </w:p>
          <w:p>
            <w:pPr>
              <w:pStyle w:val="Default"/>
              <w:jc w:val="center"/>
              <w:rPr>
                <w:color w:val="00000A"/>
                <w:sz w:val="22"/>
                <w:szCs w:val="22"/>
              </w:rPr>
            </w:pPr>
            <w:r>
              <w:rPr>
                <w:color w:val="00000A"/>
                <w:sz w:val="22"/>
                <w:szCs w:val="22"/>
              </w:rPr>
              <w:t>2</w:t>
            </w:r>
          </w:p>
          <w:p>
            <w:pPr>
              <w:pStyle w:val="Default"/>
              <w:jc w:val="center"/>
              <w:rPr>
                <w:color w:val="00000A"/>
                <w:sz w:val="22"/>
                <w:szCs w:val="22"/>
              </w:rPr>
            </w:pPr>
            <w:r>
              <w:rPr>
                <w:color w:val="00000A"/>
                <w:sz w:val="22"/>
                <w:szCs w:val="22"/>
              </w:rPr>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color w:val="00000A"/>
                <w:sz w:val="22"/>
                <w:szCs w:val="22"/>
              </w:rPr>
            </w:pPr>
            <w:r>
              <w:rPr>
                <w:color w:val="00000A"/>
                <w:sz w:val="22"/>
                <w:szCs w:val="22"/>
              </w:rPr>
              <w:t>5</w:t>
            </w:r>
          </w:p>
        </w:tc>
        <w:tc>
          <w:tcPr>
            <w:tcW w:w="6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both"/>
              <w:rPr>
                <w:color w:val="00000A"/>
                <w:sz w:val="22"/>
                <w:szCs w:val="22"/>
              </w:rPr>
            </w:pPr>
            <w:r>
              <w:rPr>
                <w:color w:val="00000A"/>
                <w:sz w:val="22"/>
                <w:szCs w:val="22"/>
              </w:rPr>
              <w:t>Επιπλέον επίπεδα γνώσης των προαπαιτούμενων ξένων γλωσσών Επίπεδο Γ1 ή Επίπεδο Γ2</w:t>
            </w:r>
          </w:p>
          <w:p>
            <w:pPr>
              <w:pStyle w:val="Default"/>
              <w:jc w:val="both"/>
              <w:rPr>
                <w:color w:val="00000A"/>
                <w:sz w:val="22"/>
                <w:szCs w:val="22"/>
              </w:rPr>
            </w:pPr>
            <w:r>
              <w:rPr>
                <w:color w:val="00000A"/>
                <w:sz w:val="22"/>
                <w:szCs w:val="22"/>
              </w:rPr>
              <w:t>Β1 ή Β2</w:t>
            </w:r>
          </w:p>
          <w:p>
            <w:pPr>
              <w:pStyle w:val="Default"/>
              <w:jc w:val="both"/>
              <w:rPr>
                <w:color w:val="00000A"/>
                <w:sz w:val="22"/>
                <w:szCs w:val="22"/>
              </w:rPr>
            </w:pPr>
            <w:r>
              <w:rPr>
                <w:sz w:val="22"/>
                <w:szCs w:val="22"/>
              </w:rPr>
              <w:t xml:space="preserve">Η γνώση ξένων γλωσσών πέραν της υποχρεωτικής λαμβάνει </w:t>
            </w:r>
            <w:r>
              <w:rPr>
                <w:b/>
                <w:bCs/>
                <w:sz w:val="22"/>
                <w:szCs w:val="22"/>
              </w:rPr>
              <w:t xml:space="preserve">έως 10 μόρια </w:t>
            </w:r>
            <w:r>
              <w:rPr>
                <w:sz w:val="22"/>
                <w:szCs w:val="22"/>
              </w:rPr>
              <w:t>(</w:t>
            </w:r>
            <w:r>
              <w:rPr>
                <w:b/>
                <w:bCs/>
                <w:sz w:val="22"/>
                <w:szCs w:val="22"/>
              </w:rPr>
              <w:t>πέντε (5) μόρια ανά γλώσσα</w:t>
            </w:r>
            <w:r>
              <w:rPr>
                <w:sz w:val="22"/>
                <w:szCs w:val="22"/>
              </w:rPr>
              <w:t>. Για τη μοριοδότηση είναι αναγκαία η πιστοποίηση επάρκειας γνώσης της ξένης γλώσσας (το ίδιο ισχύει και για την υποχρεωτική γλώσσα). Η επάρκεια πιστοποιείται με επικυρωμένο αποδεικτικό Ξένης Γλώσσας, σύμφωνα το παράρτημα Τίτλων Γλωσσομάθειας του Α.Σ.Ε.Π. το οποίο επισυνάπτεται πάντα στην πρόσκληση εκδήλωσης ενδιαφέροντος, ή εάν υπάρχει, αποδεικτικό λήψης πτυχίου από Ξενόγλωσσο Πανεπιστήμιο ή πτυχίο Ξενόγλωσσων Φιλολογιών.</w:t>
            </w:r>
          </w:p>
          <w:p>
            <w:pPr>
              <w:pStyle w:val="Default"/>
              <w:jc w:val="both"/>
              <w:rPr>
                <w:color w:val="00000A"/>
                <w:sz w:val="22"/>
                <w:szCs w:val="22"/>
              </w:rPr>
            </w:pPr>
            <w:r>
              <w:rPr>
                <w:color w:val="00000A"/>
                <w:sz w:val="22"/>
                <w:szCs w:val="22"/>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b/>
                <w:b/>
                <w:color w:val="00000A"/>
                <w:sz w:val="22"/>
                <w:szCs w:val="22"/>
              </w:rPr>
            </w:pPr>
            <w:r>
              <w:rPr>
                <w:b/>
                <w:color w:val="00000A"/>
                <w:sz w:val="22"/>
                <w:szCs w:val="22"/>
              </w:rPr>
            </w:r>
          </w:p>
          <w:p>
            <w:pPr>
              <w:pStyle w:val="Default"/>
              <w:jc w:val="center"/>
              <w:rPr>
                <w:b/>
                <w:b/>
                <w:color w:val="00000A"/>
                <w:sz w:val="22"/>
                <w:szCs w:val="22"/>
              </w:rPr>
            </w:pPr>
            <w:r>
              <w:rPr>
                <w:b/>
                <w:color w:val="00000A"/>
                <w:sz w:val="22"/>
                <w:szCs w:val="22"/>
              </w:rPr>
              <w:t>10</w:t>
            </w:r>
          </w:p>
          <w:p>
            <w:pPr>
              <w:pStyle w:val="Default"/>
              <w:jc w:val="center"/>
              <w:rPr>
                <w:color w:val="00000A"/>
                <w:sz w:val="22"/>
                <w:szCs w:val="22"/>
              </w:rPr>
            </w:pPr>
            <w:r>
              <w:rPr>
                <w:color w:val="00000A"/>
                <w:sz w:val="22"/>
                <w:szCs w:val="22"/>
              </w:rPr>
              <w:t>5</w:t>
            </w:r>
          </w:p>
          <w:p>
            <w:pPr>
              <w:pStyle w:val="Default"/>
              <w:jc w:val="center"/>
              <w:rPr>
                <w:b/>
                <w:b/>
                <w:color w:val="00000A"/>
                <w:sz w:val="22"/>
                <w:szCs w:val="22"/>
              </w:rPr>
            </w:pPr>
            <w:r>
              <w:rPr>
                <w:b/>
                <w:color w:val="00000A"/>
                <w:sz w:val="22"/>
                <w:szCs w:val="22"/>
              </w:rPr>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color w:val="00000A"/>
                <w:sz w:val="22"/>
                <w:szCs w:val="22"/>
              </w:rPr>
            </w:pPr>
            <w:r>
              <w:rPr>
                <w:color w:val="00000A"/>
                <w:sz w:val="22"/>
                <w:szCs w:val="22"/>
              </w:rPr>
              <w:t>6</w:t>
            </w:r>
          </w:p>
        </w:tc>
        <w:tc>
          <w:tcPr>
            <w:tcW w:w="6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both"/>
              <w:rPr>
                <w:color w:val="00000A"/>
                <w:sz w:val="22"/>
                <w:szCs w:val="22"/>
              </w:rPr>
            </w:pPr>
            <w:r>
              <w:rPr>
                <w:color w:val="00000A"/>
                <w:sz w:val="22"/>
                <w:szCs w:val="22"/>
              </w:rPr>
              <w:t xml:space="preserve">Κάθε άλλο στοιχείο σχετικό με τα προσόντα των υποψηφίων (π.χ. επαγγελματική εμπειρία, συμμετοχή σε προγράμματα εξ’ αποστάσεως εκπαίδευσης, συμμετοχή σε πρόγραμμα </w:t>
            </w:r>
            <w:r>
              <w:rPr>
                <w:color w:val="00000A"/>
                <w:sz w:val="22"/>
                <w:szCs w:val="22"/>
                <w:lang w:val="en-US"/>
              </w:rPr>
              <w:t>Erasmus</w:t>
            </w:r>
            <w:r>
              <w:rPr>
                <w:color w:val="00000A"/>
                <w:sz w:val="22"/>
                <w:szCs w:val="22"/>
              </w:rPr>
              <w:t>, παρακολούθηση σεμιναρίων ή συνεδρίων, κτλ)</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b/>
                <w:b/>
                <w:color w:val="00000A"/>
                <w:sz w:val="22"/>
                <w:szCs w:val="22"/>
              </w:rPr>
            </w:pPr>
            <w:r>
              <w:rPr>
                <w:b/>
                <w:color w:val="00000A"/>
                <w:sz w:val="22"/>
                <w:szCs w:val="22"/>
              </w:rPr>
              <w:t>5</w:t>
            </w:r>
          </w:p>
        </w:tc>
      </w:tr>
      <w:tr>
        <w:trPr/>
        <w:tc>
          <w:tcPr>
            <w:tcW w:w="7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color w:val="00000A"/>
                <w:sz w:val="22"/>
                <w:szCs w:val="22"/>
              </w:rPr>
            </w:pPr>
            <w:r>
              <w:rPr>
                <w:color w:val="00000A"/>
                <w:sz w:val="22"/>
                <w:szCs w:val="22"/>
              </w:rPr>
              <w:t>ΣΥΝΟΛΟ</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b/>
                <w:b/>
                <w:color w:val="00000A"/>
                <w:sz w:val="22"/>
                <w:szCs w:val="22"/>
              </w:rPr>
            </w:pPr>
            <w:r>
              <w:rPr>
                <w:b/>
                <w:color w:val="00000A"/>
                <w:sz w:val="22"/>
                <w:szCs w:val="22"/>
              </w:rPr>
              <w:t>50</w:t>
            </w:r>
          </w:p>
        </w:tc>
      </w:tr>
    </w:tbl>
    <w:p>
      <w:pPr>
        <w:pStyle w:val="Normal"/>
        <w:spacing w:lineRule="auto" w:line="240" w:before="0" w:after="0"/>
        <w:jc w:val="both"/>
        <w:rPr>
          <w:rFonts w:ascii="Calibri" w:hAnsi="Calibri" w:eastAsia="Times New Roman" w:cs="Calibri"/>
          <w:lang w:eastAsia="el-GR"/>
        </w:rPr>
      </w:pPr>
      <w:r>
        <w:rPr>
          <w:rFonts w:eastAsia="Times New Roman" w:cs="Calibri"/>
          <w:lang w:eastAsia="el-GR"/>
        </w:rPr>
      </w:r>
    </w:p>
    <w:p>
      <w:pPr>
        <w:pStyle w:val="Normal"/>
        <w:spacing w:lineRule="auto" w:line="240" w:before="0" w:after="0"/>
        <w:jc w:val="both"/>
        <w:rPr>
          <w:rFonts w:ascii="Calibri" w:hAnsi="Calibri" w:cs="Calibri"/>
        </w:rPr>
      </w:pPr>
      <w:r>
        <w:rPr>
          <w:rFonts w:eastAsia="Times New Roman" w:cs="Calibri"/>
          <w:lang w:eastAsia="el-GR"/>
        </w:rPr>
        <w:t xml:space="preserve">Η υποβολή των αιτήσεων είναι από 24 Ιουνίου 2017 μέχρι </w:t>
      </w:r>
      <w:r>
        <w:rPr>
          <w:rFonts w:cs="Calibri"/>
        </w:rPr>
        <w:t xml:space="preserve">01 Δεκεμβρίου 2017 </w:t>
      </w:r>
      <w:r>
        <w:rPr>
          <w:rFonts w:eastAsia="Times New Roman" w:cs="Calibri"/>
          <w:lang w:eastAsia="el-GR"/>
        </w:rPr>
        <w:t>(λήξη προθεσμίας υποβολής αιτήσεων)</w:t>
      </w:r>
      <w:r>
        <w:rPr>
          <w:rFonts w:cs="Calibri"/>
        </w:rPr>
        <w:t>.</w:t>
      </w:r>
    </w:p>
    <w:p>
      <w:pPr>
        <w:pStyle w:val="Normal"/>
        <w:spacing w:lineRule="auto" w:line="240" w:before="0" w:after="0"/>
        <w:jc w:val="both"/>
        <w:rPr>
          <w:rFonts w:ascii="Calibri" w:hAnsi="Calibri" w:cs="Calibri"/>
        </w:rPr>
      </w:pPr>
      <w:r>
        <w:rPr>
          <w:rFonts w:eastAsia="Times New Roman" w:cs="Calibri"/>
          <w:lang w:eastAsia="el-GR"/>
        </w:rPr>
        <w:t xml:space="preserve">Οι υποψήφιοι/ες καλούνται να υποβάλουν εμπρόθεσμα τα παρακάτω δικαιολογητικά </w:t>
      </w:r>
      <w:r>
        <w:rPr>
          <w:rFonts w:eastAsia="Times New Roman" w:cs="Calibri"/>
          <w:b/>
          <w:lang w:eastAsia="el-GR"/>
        </w:rPr>
        <w:t>ηλεκτρονικά</w:t>
      </w:r>
      <w:r>
        <w:rPr>
          <w:rFonts w:eastAsia="Times New Roman" w:cs="Calibri"/>
          <w:lang w:eastAsia="el-GR"/>
        </w:rPr>
        <w:t>:</w:t>
      </w:r>
      <w:r>
        <w:rPr>
          <w:rFonts w:eastAsia="Times New Roman" w:cs="Calibri"/>
          <w:lang w:val="en-US" w:eastAsia="el-GR"/>
        </w:rPr>
        <w:t> </w:t>
      </w:r>
    </w:p>
    <w:p>
      <w:pPr>
        <w:pStyle w:val="Normal"/>
        <w:numPr>
          <w:ilvl w:val="0"/>
          <w:numId w:val="1"/>
        </w:numPr>
        <w:spacing w:lineRule="auto" w:line="240" w:before="0" w:after="0"/>
        <w:jc w:val="both"/>
        <w:rPr>
          <w:rFonts w:ascii="Calibri" w:hAnsi="Calibri" w:eastAsia="Times New Roman" w:cs="Calibri"/>
          <w:lang w:eastAsia="el-GR"/>
        </w:rPr>
      </w:pPr>
      <w:r>
        <w:rPr>
          <w:rFonts w:eastAsia="Arial Unicode MS" w:cs="Calibri"/>
          <w:lang w:eastAsia="el-GR"/>
        </w:rPr>
        <w:t xml:space="preserve">Ηλεκτρονική </w:t>
      </w:r>
      <w:r>
        <w:rPr>
          <w:rFonts w:eastAsia="Arial Unicode MS" w:cs="Calibri"/>
          <w:color w:val="000000"/>
          <w:lang w:eastAsia="el-GR"/>
        </w:rPr>
        <w:t xml:space="preserve">Αίτηση </w:t>
      </w:r>
    </w:p>
    <w:p>
      <w:pPr>
        <w:pStyle w:val="Normal"/>
        <w:numPr>
          <w:ilvl w:val="0"/>
          <w:numId w:val="1"/>
        </w:numPr>
        <w:spacing w:lineRule="auto" w:line="240" w:before="0" w:after="0"/>
        <w:jc w:val="both"/>
        <w:rPr>
          <w:rFonts w:ascii="Calibri" w:hAnsi="Calibri" w:eastAsia="Times New Roman" w:cs="Calibri"/>
          <w:lang w:eastAsia="el-GR"/>
        </w:rPr>
      </w:pPr>
      <w:r>
        <w:rPr>
          <w:rFonts w:eastAsia="Times New Roman" w:cs="Calibri"/>
          <w:lang w:eastAsia="el-GR"/>
        </w:rPr>
        <w:t>Αναλυτικό Βιογραφικό Σημείωμα</w:t>
      </w:r>
    </w:p>
    <w:p>
      <w:pPr>
        <w:pStyle w:val="Default"/>
        <w:numPr>
          <w:ilvl w:val="0"/>
          <w:numId w:val="1"/>
        </w:numPr>
        <w:jc w:val="both"/>
        <w:rPr>
          <w:sz w:val="22"/>
          <w:szCs w:val="22"/>
        </w:rPr>
      </w:pPr>
      <w:r>
        <w:rPr>
          <w:sz w:val="22"/>
          <w:szCs w:val="22"/>
        </w:rPr>
        <w:t xml:space="preserve">Μονοσέλιδο κείμενο όπου θα τεκμηριώνεται η βούληση και τα κίνητρα του/της  υποψηφίου/ας για την εισαγωγή του/της στο συγκεκριμένο ΠΜΣ </w:t>
      </w:r>
    </w:p>
    <w:p>
      <w:pPr>
        <w:pStyle w:val="Normal"/>
        <w:numPr>
          <w:ilvl w:val="0"/>
          <w:numId w:val="1"/>
        </w:numPr>
        <w:spacing w:lineRule="auto" w:line="240" w:before="0" w:after="0"/>
        <w:jc w:val="both"/>
        <w:rPr>
          <w:rFonts w:ascii="Calibri" w:hAnsi="Calibri" w:eastAsia="Times New Roman" w:cs="Calibri"/>
          <w:lang w:eastAsia="el-GR"/>
        </w:rPr>
      </w:pPr>
      <w:r>
        <w:rPr>
          <w:rFonts w:eastAsia="Times New Roman" w:cs="Calibri"/>
          <w:lang w:eastAsia="el-GR"/>
        </w:rPr>
        <w:t xml:space="preserve">Αντίγραφο Πτυχίου/Διπλώματος (σε περίπτωση τελειόφοιτου απαιτείται η προσκόμιση της Βεβαίωσης Ολοκλήρωσης Σπουδών έως την περίοδο των εγγραφών). </w:t>
      </w:r>
      <w:r>
        <w:rPr>
          <w:rFonts w:eastAsia="Times New Roman" w:cs="Calibri"/>
          <w:color w:val="000000"/>
          <w:lang w:eastAsia="el-GR"/>
        </w:rPr>
        <w:t>Οι κάτοχοι τίτλων σπουδών της αλλοδαπής οφείλουν να προσκομίσουν την αναγνώριση του τίτλου τους από το Δ.Ο.Α.Τ.Α.Π.. Ειδικά για τους κατόχους τίτλων σπουδών από χώρες εκτός Ευρωπαϊκής Ένωσης, δεν απαιτείται η αναγνώριση του τίτλου σπουδών τους από το Δ.Ο.Α.Τ.Α.Π.</w:t>
      </w:r>
    </w:p>
    <w:p>
      <w:pPr>
        <w:pStyle w:val="Normal"/>
        <w:numPr>
          <w:ilvl w:val="0"/>
          <w:numId w:val="1"/>
        </w:numPr>
        <w:spacing w:lineRule="auto" w:line="240" w:before="0" w:after="0"/>
        <w:jc w:val="both"/>
        <w:rPr>
          <w:rFonts w:ascii="Calibri" w:hAnsi="Calibri" w:eastAsia="Times New Roman" w:cs="Calibri"/>
          <w:lang w:eastAsia="el-GR"/>
        </w:rPr>
      </w:pPr>
      <w:r>
        <w:rPr>
          <w:rFonts w:eastAsia="Times New Roman" w:cs="Calibri"/>
          <w:lang w:eastAsia="el-GR"/>
        </w:rPr>
        <w:t>Πιστοποιητικό Αναλυτικής Βαθμολογίας (με ακριβή Μ.Ο.)</w:t>
      </w:r>
    </w:p>
    <w:p>
      <w:pPr>
        <w:pStyle w:val="Normal"/>
        <w:numPr>
          <w:ilvl w:val="0"/>
          <w:numId w:val="1"/>
        </w:numPr>
        <w:spacing w:lineRule="auto" w:line="240" w:before="0" w:after="0"/>
        <w:jc w:val="both"/>
        <w:rPr>
          <w:rFonts w:ascii="Calibri" w:hAnsi="Calibri" w:eastAsia="Times New Roman" w:cs="Calibri"/>
          <w:lang w:eastAsia="el-GR"/>
        </w:rPr>
      </w:pPr>
      <w:r>
        <w:rPr>
          <w:rFonts w:eastAsia="Times New Roman" w:cs="Calibri"/>
          <w:lang w:eastAsia="el-GR"/>
        </w:rPr>
        <w:t>Αντίτυπο Διπλωματικής/Πτυχιακής Εργασίας με θέμα συναφές με το αντικείμενο του ΠΜΣ (εφόσον εκπονήθηκε) σε ψηφιακή μορφή</w:t>
      </w:r>
    </w:p>
    <w:p>
      <w:pPr>
        <w:pStyle w:val="Normal"/>
        <w:numPr>
          <w:ilvl w:val="0"/>
          <w:numId w:val="1"/>
        </w:numPr>
        <w:spacing w:lineRule="auto" w:line="240" w:before="0" w:after="0"/>
        <w:jc w:val="both"/>
        <w:rPr>
          <w:rFonts w:ascii="Calibri" w:hAnsi="Calibri" w:eastAsia="Times New Roman" w:cs="Calibri"/>
          <w:lang w:eastAsia="el-GR"/>
        </w:rPr>
      </w:pPr>
      <w:r>
        <w:rPr>
          <w:rFonts w:eastAsia="Times New Roman" w:cs="Calibri"/>
          <w:lang w:eastAsia="el-GR"/>
        </w:rPr>
        <w:t>Φωτοτυπία της αστυνομικής ταυτότητας ή διαβατηρίου</w:t>
      </w:r>
    </w:p>
    <w:p>
      <w:pPr>
        <w:pStyle w:val="Normal"/>
        <w:numPr>
          <w:ilvl w:val="0"/>
          <w:numId w:val="1"/>
        </w:numPr>
        <w:spacing w:lineRule="auto" w:line="240" w:before="0" w:after="0"/>
        <w:jc w:val="both"/>
        <w:rPr>
          <w:rFonts w:ascii="Calibri" w:hAnsi="Calibri" w:eastAsia="Times New Roman" w:cs="Calibri"/>
          <w:lang w:eastAsia="el-GR"/>
        </w:rPr>
      </w:pPr>
      <w:r>
        <w:rPr>
          <w:rFonts w:eastAsia="Times New Roman" w:cs="Calibri"/>
          <w:lang w:val="en-US" w:eastAsia="el-GR"/>
        </w:rPr>
        <w:t>M</w:t>
      </w:r>
      <w:r>
        <w:rPr>
          <w:rFonts w:eastAsia="Times New Roman" w:cs="Calibri"/>
          <w:lang w:eastAsia="el-GR"/>
        </w:rPr>
        <w:t>ία πρόσφατη φωτογραφία τύπου αστυνομικής ταυτότητας</w:t>
      </w:r>
    </w:p>
    <w:p>
      <w:pPr>
        <w:pStyle w:val="Normal"/>
        <w:numPr>
          <w:ilvl w:val="0"/>
          <w:numId w:val="1"/>
        </w:numPr>
        <w:spacing w:lineRule="auto" w:line="240" w:before="0" w:after="0"/>
        <w:jc w:val="both"/>
        <w:rPr>
          <w:rFonts w:ascii="Calibri" w:hAnsi="Calibri" w:eastAsia="Times New Roman" w:cs="Calibri"/>
          <w:lang w:eastAsia="el-GR"/>
        </w:rPr>
      </w:pPr>
      <w:r>
        <w:rPr>
          <w:rFonts w:eastAsia="Times New Roman" w:cs="Calibri"/>
          <w:lang w:eastAsia="el-GR"/>
        </w:rPr>
        <w:t xml:space="preserve">Προαιρετικά δύο συστατικές επιστολές οι οποίες αποστέλλονται ηλεκτρονικά μέσω της πλατφόρμας </w:t>
      </w:r>
      <w:r>
        <w:rPr>
          <w:rFonts w:eastAsia="Times New Roman" w:cs="Calibri"/>
          <w:lang w:val="en-US" w:eastAsia="el-GR"/>
        </w:rPr>
        <w:t>Nautilus</w:t>
      </w:r>
      <w:r>
        <w:rPr>
          <w:rFonts w:eastAsia="Times New Roman" w:cs="Calibri"/>
          <w:lang w:eastAsia="el-GR"/>
        </w:rPr>
        <w:t>, από τον/την υπογράφοντα/ουσα αυτές</w:t>
      </w:r>
    </w:p>
    <w:p>
      <w:pPr>
        <w:pStyle w:val="Normal"/>
        <w:numPr>
          <w:ilvl w:val="0"/>
          <w:numId w:val="1"/>
        </w:numPr>
        <w:spacing w:lineRule="auto" w:line="240" w:before="0" w:after="0"/>
        <w:jc w:val="both"/>
        <w:rPr>
          <w:rFonts w:ascii="Calibri" w:hAnsi="Calibri" w:eastAsia="Times New Roman" w:cs="Calibri"/>
          <w:i/>
          <w:i/>
          <w:lang w:eastAsia="el-GR"/>
        </w:rPr>
      </w:pPr>
      <w:r>
        <w:rPr>
          <w:rFonts w:eastAsia="Times New Roman" w:cs="Calibri"/>
          <w:lang w:eastAsia="el-GR"/>
        </w:rPr>
        <w:t xml:space="preserve">Αποδεικτικά γνώσης αγγλικής γλώσσας (επιπέδου Β2 π.χ. </w:t>
      </w:r>
      <w:r>
        <w:rPr>
          <w:rFonts w:eastAsia="Times New Roman" w:cs="Calibri"/>
          <w:lang w:val="en-US" w:eastAsia="el-GR"/>
        </w:rPr>
        <w:t>FCE</w:t>
      </w:r>
      <w:r>
        <w:rPr>
          <w:rFonts w:eastAsia="Times New Roman" w:cs="Calibri"/>
          <w:lang w:eastAsia="el-GR"/>
        </w:rPr>
        <w:t xml:space="preserve">, </w:t>
      </w:r>
      <w:r>
        <w:rPr>
          <w:rFonts w:eastAsia="Times New Roman" w:cs="Calibri"/>
          <w:lang w:val="en-US" w:eastAsia="el-GR"/>
        </w:rPr>
        <w:t>MCCE</w:t>
      </w:r>
      <w:r>
        <w:rPr>
          <w:rFonts w:eastAsia="Times New Roman" w:cs="Calibri"/>
          <w:lang w:eastAsia="el-GR"/>
        </w:rPr>
        <w:t xml:space="preserve">, </w:t>
      </w:r>
      <w:r>
        <w:rPr>
          <w:rFonts w:eastAsia="Times New Roman" w:cs="Calibri"/>
          <w:lang w:val="en-US" w:eastAsia="el-GR"/>
        </w:rPr>
        <w:t>TOEIC</w:t>
      </w:r>
      <w:r>
        <w:rPr>
          <w:rFonts w:eastAsia="Times New Roman" w:cs="Calibri"/>
          <w:lang w:eastAsia="el-GR"/>
        </w:rPr>
        <w:t xml:space="preserve"> ή αντίστοιχο κρατικό πιστοποιητικό γλωσσομάθειας) και, προαιρετικά, αντίστοιχα πιστοποιητικά άλλων ξένων γλωσσών. (</w:t>
      </w:r>
      <w:r>
        <w:rPr>
          <w:rFonts w:eastAsia="Times New Roman" w:cs="Calibri"/>
          <w:i/>
          <w:lang w:eastAsia="el-GR"/>
        </w:rPr>
        <w:t>Οι αλλοδαποί/ες καταθέτουν πιστοποιητικό επάρκειας της ελληνικής γλώσσας από Σχολείο Νέας Ελληνικής Γλώσσας ΑΕΙ)</w:t>
      </w:r>
    </w:p>
    <w:p>
      <w:pPr>
        <w:pStyle w:val="Normal"/>
        <w:numPr>
          <w:ilvl w:val="0"/>
          <w:numId w:val="1"/>
        </w:numPr>
        <w:spacing w:lineRule="auto" w:line="240" w:before="0" w:after="0"/>
        <w:jc w:val="both"/>
        <w:rPr>
          <w:rFonts w:ascii="Calibri" w:hAnsi="Calibri" w:eastAsia="Times New Roman" w:cs="Calibri"/>
          <w:lang w:eastAsia="el-GR"/>
        </w:rPr>
      </w:pPr>
      <w:r>
        <w:rPr>
          <w:rFonts w:eastAsia="Times New Roman" w:cs="Calibri"/>
          <w:lang w:eastAsia="el-GR"/>
        </w:rPr>
        <w:t>Επιστημονικές δημοσιεύσεις, διακρίσεις, σε ψηφιακή μορφή (εάν υπάρχουν)</w:t>
      </w:r>
    </w:p>
    <w:p>
      <w:pPr>
        <w:pStyle w:val="Normal"/>
        <w:numPr>
          <w:ilvl w:val="0"/>
          <w:numId w:val="1"/>
        </w:numPr>
        <w:spacing w:lineRule="auto" w:line="240" w:before="0" w:after="0"/>
        <w:jc w:val="both"/>
        <w:rPr>
          <w:rFonts w:ascii="Calibri" w:hAnsi="Calibri" w:eastAsia="Times New Roman" w:cs="Calibri"/>
          <w:lang w:eastAsia="el-GR"/>
        </w:rPr>
      </w:pPr>
      <w:r>
        <w:rPr>
          <w:rFonts w:eastAsia="Times New Roman" w:cs="Calibri"/>
          <w:lang w:eastAsia="el-GR"/>
        </w:rPr>
        <w:t>Αποδεικτικά επαγγελματικής ή ερευνητικής εμπειρίας σε απλό αντίγραφο (εάν υπάρχουν)</w:t>
      </w:r>
    </w:p>
    <w:p>
      <w:pPr>
        <w:pStyle w:val="ListParagraph"/>
        <w:numPr>
          <w:ilvl w:val="0"/>
          <w:numId w:val="1"/>
        </w:numPr>
        <w:spacing w:lineRule="auto" w:line="240" w:before="0" w:after="0"/>
        <w:jc w:val="both"/>
        <w:rPr>
          <w:rFonts w:ascii="Calibri" w:hAnsi="Calibri" w:eastAsia="Times New Roman" w:cs="Calibri"/>
          <w:lang w:eastAsia="el-GR"/>
        </w:rPr>
      </w:pPr>
      <w:r>
        <w:rPr>
          <w:rFonts w:cs="Calibri"/>
        </w:rPr>
        <w:t>Αποδεικτικά παρακολούθησης συναφών πιστοποιημένων επιμορφωτικών προγραμμάτων και επιστημονικών συνεδρίων (εάν υπάρχουν).</w:t>
      </w:r>
    </w:p>
    <w:p>
      <w:pPr>
        <w:pStyle w:val="ListParagraph"/>
        <w:numPr>
          <w:ilvl w:val="0"/>
          <w:numId w:val="1"/>
        </w:numPr>
        <w:spacing w:lineRule="auto" w:line="240" w:before="0" w:after="0"/>
        <w:jc w:val="both"/>
        <w:rPr>
          <w:rFonts w:ascii="Calibri" w:hAnsi="Calibri" w:eastAsia="Times New Roman" w:cs="Calibri"/>
          <w:lang w:eastAsia="el-GR"/>
        </w:rPr>
      </w:pPr>
      <w:r>
        <w:rPr>
          <w:rFonts w:cs="Calibri"/>
        </w:rPr>
        <w:t>Οποιοδήποτε άλλο αποδεικτικό προσόντος θεωρεί ο/η υποψήφιος/α ότι θα συμβάλει στη θετική αξιολόγηση της υποψηφιότητάς του/της</w:t>
      </w:r>
    </w:p>
    <w:p>
      <w:pPr>
        <w:pStyle w:val="Normal"/>
        <w:jc w:val="both"/>
        <w:rPr/>
      </w:pPr>
      <w:r>
        <w:rPr>
          <w:rFonts w:cs="Calibri"/>
        </w:rPr>
        <w:t xml:space="preserve">Οι ενδιαφερόμενοι/ες πρέπει να υποβάλουν την υποψηφιότητα τους μέσω του ηλεκτρονικού συστήματος «ΝΑΥΤΙΛΟΣ» του Πανεπιστημίου Αιγαίου στη διεύθυνση: </w:t>
      </w:r>
      <w:hyperlink r:id="rId3">
        <w:r>
          <w:rPr>
            <w:rStyle w:val="InternetLink"/>
            <w:rFonts w:cs="Calibri"/>
          </w:rPr>
          <w:t>https://nautilus.aegean.gr/</w:t>
        </w:r>
      </w:hyperlink>
      <w:r>
        <w:rPr>
          <w:rFonts w:cs="Calibri"/>
        </w:rPr>
        <w:t xml:space="preserve"> </w:t>
      </w:r>
      <w:r>
        <w:rPr>
          <w:rFonts w:cs="Calibri"/>
          <w:b/>
          <w:bCs/>
        </w:rPr>
        <w:t>μέχρι τις 01/12/2017 και ώρα 13:00</w:t>
      </w:r>
      <w:r>
        <w:rPr>
          <w:rFonts w:cs="Calibri"/>
        </w:rPr>
        <w:t xml:space="preserve">, αφού ακολουθήσουν προσεκτικά τις οδηγίες που περιέχονται στο εγχειρίδιο χρήσης: </w:t>
      </w:r>
      <w:hyperlink r:id="rId4">
        <w:r>
          <w:rPr>
            <w:rStyle w:val="InternetLink"/>
            <w:rFonts w:cs="Calibri"/>
          </w:rPr>
          <w:t>https://nautilus.aegean.gr/applicant_manual.pdf</w:t>
        </w:r>
      </w:hyperlink>
      <w:r>
        <w:rPr>
          <w:rFonts w:cs="Calibri"/>
        </w:rPr>
        <w:t xml:space="preserve"> και στη συνέχεια να αποστείλουν </w:t>
      </w:r>
      <w:r>
        <w:rPr>
          <w:rFonts w:cs="Calibri"/>
          <w:b/>
          <w:bCs/>
        </w:rPr>
        <w:t>μέχρι τις 01/12/2017</w:t>
      </w:r>
      <w:r>
        <w:rPr>
          <w:rFonts w:cs="Calibri"/>
        </w:rPr>
        <w:t xml:space="preserve"> το φάκελο υποψηφιότητας που θα περιέχει εκτυπωμένη την ηλεκτρονική αίτηση και όλα τα απαραίτητα δικαιολογητικά που θα πιστοποιούν τα προσόντα που δήλωσαν στην αίτησή τους με την ένδειξη «ΦΑΚΕΛΟΣ ΥΠΟΨΗΦΙΟΤΗΤΑΣ για το ΠΜΣ ΕΦΑΡΜΟΣΜΕΝΕΣ ΑΡΧΑΙΟΛΟΓΙΚΕΣ ΕΠΙΣΤΗΜΕΣ» στην παρακάτω ταχυδρομική διεύθυνση:</w:t>
      </w:r>
    </w:p>
    <w:p>
      <w:pPr>
        <w:pStyle w:val="Normal"/>
        <w:spacing w:lineRule="auto" w:line="240" w:before="0" w:after="0"/>
        <w:ind w:left="-720" w:firstLine="720"/>
        <w:jc w:val="both"/>
        <w:rPr>
          <w:rFonts w:ascii="Calibri" w:hAnsi="Calibri" w:cs="Calibri"/>
        </w:rPr>
      </w:pPr>
      <w:r>
        <w:rPr>
          <w:rFonts w:cs="Calibri"/>
        </w:rPr>
        <w:t>Πανεπιστήμιο Αιγαίου</w:t>
      </w:r>
    </w:p>
    <w:p>
      <w:pPr>
        <w:pStyle w:val="Normal"/>
        <w:spacing w:lineRule="auto" w:line="240" w:before="0" w:after="0"/>
        <w:ind w:left="-720" w:firstLine="720"/>
        <w:jc w:val="both"/>
        <w:rPr>
          <w:rFonts w:ascii="Calibri" w:hAnsi="Calibri" w:cs="Calibri"/>
        </w:rPr>
      </w:pPr>
      <w:r>
        <w:rPr>
          <w:rFonts w:cs="Calibri"/>
        </w:rPr>
        <w:t>Γραμματεία Τμήματος Μεσογειακών Σπουδών</w:t>
      </w:r>
    </w:p>
    <w:p>
      <w:pPr>
        <w:pStyle w:val="Normal"/>
        <w:spacing w:lineRule="auto" w:line="240" w:before="0" w:after="0"/>
        <w:ind w:left="-720" w:firstLine="720"/>
        <w:jc w:val="both"/>
        <w:rPr>
          <w:rFonts w:ascii="Calibri" w:hAnsi="Calibri" w:cs="Calibri"/>
        </w:rPr>
      </w:pPr>
      <w:r>
        <w:rPr>
          <w:rFonts w:cs="Calibri"/>
        </w:rPr>
        <w:t>Υπόψη κ. Αθηνάς Λιόλιου</w:t>
      </w:r>
    </w:p>
    <w:p>
      <w:pPr>
        <w:pStyle w:val="Normal"/>
        <w:spacing w:lineRule="auto" w:line="240" w:before="0" w:after="0"/>
        <w:ind w:left="-720" w:firstLine="720"/>
        <w:jc w:val="both"/>
        <w:rPr>
          <w:rFonts w:ascii="Calibri" w:hAnsi="Calibri" w:cs="Calibri"/>
        </w:rPr>
      </w:pPr>
      <w:r>
        <w:rPr>
          <w:rFonts w:cs="Calibri"/>
        </w:rPr>
        <w:t>Δημοκρατίας 1 (κτήριο 7</w:t>
      </w:r>
      <w:r>
        <w:rPr>
          <w:rFonts w:cs="Calibri"/>
          <w:vertAlign w:val="superscript"/>
        </w:rPr>
        <w:t>ης</w:t>
      </w:r>
      <w:r>
        <w:rPr>
          <w:rFonts w:cs="Calibri"/>
        </w:rPr>
        <w:t xml:space="preserve"> Μαρτίου)</w:t>
      </w:r>
    </w:p>
    <w:p>
      <w:pPr>
        <w:pStyle w:val="Normal"/>
        <w:spacing w:lineRule="auto" w:line="240"/>
        <w:ind w:left="-720" w:firstLine="720"/>
        <w:jc w:val="both"/>
        <w:rPr>
          <w:rFonts w:ascii="Calibri" w:hAnsi="Calibri" w:cs="Calibri"/>
        </w:rPr>
      </w:pPr>
      <w:r>
        <w:rPr>
          <w:rFonts w:cs="Calibri"/>
        </w:rPr>
        <w:t xml:space="preserve">85132 Ρόδος </w:t>
      </w:r>
    </w:p>
    <w:p>
      <w:pPr>
        <w:pStyle w:val="Normal"/>
        <w:spacing w:lineRule="auto" w:line="240" w:before="0" w:after="0"/>
        <w:ind w:left="-720" w:firstLine="720"/>
        <w:jc w:val="both"/>
        <w:rPr>
          <w:rFonts w:ascii="Calibri" w:hAnsi="Calibri" w:cs="Calibri"/>
          <w:b/>
          <w:b/>
        </w:rPr>
      </w:pPr>
      <w:r>
        <w:rPr>
          <w:rFonts w:cs="Calibri"/>
          <w:b/>
        </w:rPr>
        <w:t>Επικοινωνία</w:t>
      </w:r>
    </w:p>
    <w:p>
      <w:pPr>
        <w:pStyle w:val="Normal"/>
        <w:spacing w:lineRule="auto" w:line="240" w:before="0" w:after="0"/>
        <w:ind w:left="-720" w:firstLine="720"/>
        <w:jc w:val="both"/>
        <w:rPr/>
      </w:pPr>
      <w:r>
        <w:rPr>
          <w:rFonts w:cs="Calibri"/>
          <w:bCs/>
          <w:lang w:val="fr-FR"/>
        </w:rPr>
        <w:t xml:space="preserve">Email: </w:t>
      </w:r>
      <w:hyperlink r:id="rId5">
        <w:r>
          <w:rPr>
            <w:rStyle w:val="InternetLink"/>
            <w:rFonts w:cs="Calibri"/>
            <w:lang w:val="en-US"/>
          </w:rPr>
          <w:t>a</w:t>
        </w:r>
        <w:r>
          <w:rPr>
            <w:rStyle w:val="InternetLink"/>
            <w:rFonts w:cs="Calibri"/>
          </w:rPr>
          <w:t>.</w:t>
        </w:r>
        <w:r>
          <w:rPr>
            <w:rStyle w:val="InternetLink"/>
            <w:rFonts w:cs="Calibri"/>
            <w:lang w:val="en-US"/>
          </w:rPr>
          <w:t>lioliou</w:t>
        </w:r>
        <w:r>
          <w:rPr>
            <w:rStyle w:val="InternetLink"/>
            <w:rFonts w:cs="Calibri"/>
          </w:rPr>
          <w:t>@</w:t>
        </w:r>
        <w:r>
          <w:rPr>
            <w:rStyle w:val="InternetLink"/>
            <w:rFonts w:cs="Calibri"/>
            <w:lang w:val="en-US"/>
          </w:rPr>
          <w:t>aegean</w:t>
        </w:r>
        <w:r>
          <w:rPr>
            <w:rStyle w:val="InternetLink"/>
            <w:rFonts w:cs="Calibri"/>
          </w:rPr>
          <w:t>.</w:t>
        </w:r>
        <w:r>
          <w:rPr>
            <w:rStyle w:val="InternetLink"/>
            <w:rFonts w:cs="Calibri"/>
            <w:lang w:val="en-US"/>
          </w:rPr>
          <w:t>gr</w:t>
        </w:r>
      </w:hyperlink>
      <w:r>
        <w:rPr>
          <w:rStyle w:val="Rpc41"/>
          <w:rFonts w:cs="Calibri"/>
        </w:rPr>
        <w:t>,</w:t>
      </w:r>
      <w:r>
        <w:rPr>
          <w:rFonts w:cs="Calibri"/>
        </w:rPr>
        <w:t xml:space="preserve"> </w:t>
      </w:r>
      <w:hyperlink r:id="rId6">
        <w:r>
          <w:rPr>
            <w:rStyle w:val="InternetLink"/>
            <w:rFonts w:cs="Calibri"/>
            <w:color w:val="0000FF"/>
            <w:u w:val="single"/>
            <w:lang w:val="en-US"/>
          </w:rPr>
          <w:t>archsci</w:t>
        </w:r>
        <w:r>
          <w:rPr>
            <w:rStyle w:val="InternetLink"/>
            <w:rFonts w:cs="Calibri"/>
            <w:color w:val="0000FF"/>
            <w:u w:val="single"/>
          </w:rPr>
          <w:t>@</w:t>
        </w:r>
        <w:r>
          <w:rPr>
            <w:rStyle w:val="InternetLink"/>
            <w:rFonts w:cs="Calibri"/>
            <w:color w:val="0000FF"/>
            <w:u w:val="single"/>
            <w:lang w:val="en-US"/>
          </w:rPr>
          <w:t>aegean</w:t>
        </w:r>
        <w:r>
          <w:rPr>
            <w:rStyle w:val="InternetLink"/>
            <w:rFonts w:cs="Calibri"/>
            <w:color w:val="0000FF"/>
            <w:u w:val="single"/>
          </w:rPr>
          <w:t>.</w:t>
        </w:r>
        <w:r>
          <w:rPr>
            <w:rStyle w:val="InternetLink"/>
            <w:rFonts w:cs="Calibri"/>
            <w:color w:val="0000FF"/>
            <w:u w:val="single"/>
            <w:lang w:val="en-US"/>
          </w:rPr>
          <w:t>gr</w:t>
        </w:r>
      </w:hyperlink>
      <w:r>
        <w:rPr>
          <w:rFonts w:cs="Calibri"/>
          <w:color w:val="0000FF"/>
          <w:u w:val="single"/>
        </w:rPr>
        <w:t xml:space="preserve">, </w:t>
      </w:r>
      <w:r>
        <w:rPr>
          <w:rStyle w:val="Rpc41"/>
          <w:rFonts w:cs="Calibri"/>
        </w:rPr>
        <w:t xml:space="preserve"> </w:t>
      </w:r>
    </w:p>
    <w:p>
      <w:pPr>
        <w:pStyle w:val="Normal"/>
        <w:spacing w:lineRule="auto" w:line="240" w:before="0" w:after="0"/>
        <w:ind w:left="-720" w:firstLine="720"/>
        <w:jc w:val="both"/>
        <w:rPr>
          <w:rFonts w:ascii="Calibri" w:hAnsi="Calibri" w:eastAsia="Times New Roman" w:cs="Calibri"/>
          <w:lang w:eastAsia="el-GR"/>
        </w:rPr>
      </w:pPr>
      <w:r>
        <w:rPr>
          <w:rFonts w:cs="Calibri"/>
          <w:bCs/>
        </w:rPr>
        <w:t>Τηλέφωνο: 22410 99388 , 22410 99386, 22410 99320, 6944595966</w:t>
      </w:r>
    </w:p>
    <w:p>
      <w:pPr>
        <w:pStyle w:val="Normal"/>
        <w:spacing w:lineRule="auto" w:line="240" w:before="0" w:after="0"/>
        <w:jc w:val="both"/>
        <w:rPr>
          <w:rFonts w:ascii="Calibri" w:hAnsi="Calibri" w:eastAsia="Times New Roman" w:cs="Calibri"/>
          <w:lang w:eastAsia="el-GR"/>
        </w:rPr>
      </w:pPr>
      <w:r>
        <w:rPr>
          <w:rFonts w:eastAsia="Times New Roman" w:cs="Calibri"/>
          <w:lang w:eastAsia="el-GR"/>
        </w:rPr>
        <w:t>Τα αποτελέσματα επιλογής των Υποψηφίων θα αναρτηθούν στην Ιστοσελίδα του Τμήματος.</w:t>
      </w:r>
    </w:p>
    <w:p>
      <w:pPr>
        <w:pStyle w:val="Normal"/>
        <w:spacing w:lineRule="auto" w:line="240" w:before="0" w:after="0"/>
        <w:jc w:val="both"/>
        <w:rPr>
          <w:rFonts w:ascii="Calibri" w:hAnsi="Calibri" w:eastAsia="Times New Roman" w:cs="Calibri"/>
          <w:lang w:eastAsia="el-GR"/>
        </w:rPr>
      </w:pPr>
      <w:r>
        <w:rPr>
          <w:rFonts w:eastAsia="Times New Roman" w:cs="Calibri"/>
          <w:lang w:eastAsia="el-GR"/>
        </w:rPr>
        <w:t xml:space="preserve">Περισσότερες πληροφορίες: </w:t>
      </w:r>
    </w:p>
    <w:p>
      <w:pPr>
        <w:pStyle w:val="Normal"/>
        <w:spacing w:lineRule="auto" w:line="240" w:before="0" w:after="0"/>
        <w:jc w:val="both"/>
        <w:rPr>
          <w:rFonts w:ascii="Calibri" w:hAnsi="Calibri" w:eastAsia="Times New Roman" w:cs="Calibri"/>
          <w:lang w:eastAsia="el-GR"/>
        </w:rPr>
      </w:pPr>
      <w:r>
        <w:rPr>
          <w:rFonts w:eastAsia="Times New Roman" w:cs="Calibri"/>
          <w:lang w:eastAsia="el-GR"/>
        </w:rPr>
        <w:t xml:space="preserve">Γραμματεία του Π.Μ.Σ.  τηλ.: </w:t>
      </w:r>
      <w:r>
        <w:rPr>
          <w:rFonts w:cs="Calibri"/>
          <w:bCs/>
        </w:rPr>
        <w:t>22410 99388</w:t>
      </w:r>
      <w:r>
        <w:rPr>
          <w:rFonts w:eastAsia="Times New Roman" w:cs="Calibri"/>
          <w:lang w:eastAsia="el-GR"/>
        </w:rPr>
        <w:t xml:space="preserve">, </w:t>
      </w:r>
      <w:r>
        <w:rPr>
          <w:rFonts w:cs="Calibri"/>
          <w:bCs/>
        </w:rPr>
        <w:t xml:space="preserve">6944595966 </w:t>
      </w:r>
      <w:r>
        <w:rPr>
          <w:rFonts w:eastAsia="Times New Roman" w:cs="Calibri"/>
          <w:lang w:eastAsia="el-GR"/>
        </w:rPr>
        <w:t xml:space="preserve">και ώρες 18:00-20:00.  </w:t>
      </w:r>
    </w:p>
    <w:p>
      <w:pPr>
        <w:pStyle w:val="Normal"/>
        <w:spacing w:lineRule="auto" w:line="240" w:before="0" w:after="0"/>
        <w:jc w:val="both"/>
        <w:rPr/>
      </w:pPr>
      <w:r>
        <w:rPr>
          <w:rFonts w:eastAsia="Times New Roman" w:cs="Calibri"/>
          <w:lang w:eastAsia="el-GR"/>
        </w:rPr>
        <w:t xml:space="preserve">ή στην ηλεκτρονική διεύθυνση </w:t>
      </w:r>
      <w:hyperlink r:id="rId7">
        <w:r>
          <w:rPr>
            <w:rStyle w:val="InternetLink"/>
            <w:rFonts w:cs="Calibri"/>
            <w:lang w:val="en-US"/>
          </w:rPr>
          <w:t>a</w:t>
        </w:r>
        <w:r>
          <w:rPr>
            <w:rStyle w:val="InternetLink"/>
            <w:rFonts w:cs="Calibri"/>
          </w:rPr>
          <w:t>.</w:t>
        </w:r>
        <w:r>
          <w:rPr>
            <w:rStyle w:val="InternetLink"/>
            <w:rFonts w:cs="Calibri"/>
            <w:lang w:val="en-US"/>
          </w:rPr>
          <w:t>lioliou</w:t>
        </w:r>
        <w:r>
          <w:rPr>
            <w:rStyle w:val="InternetLink"/>
            <w:rFonts w:cs="Calibri"/>
          </w:rPr>
          <w:t>@</w:t>
        </w:r>
        <w:r>
          <w:rPr>
            <w:rStyle w:val="InternetLink"/>
            <w:rFonts w:cs="Calibri"/>
            <w:lang w:val="en-US"/>
          </w:rPr>
          <w:t>aegean</w:t>
        </w:r>
        <w:r>
          <w:rPr>
            <w:rStyle w:val="InternetLink"/>
            <w:rFonts w:cs="Calibri"/>
          </w:rPr>
          <w:t>.</w:t>
        </w:r>
        <w:r>
          <w:rPr>
            <w:rStyle w:val="InternetLink"/>
            <w:rFonts w:cs="Calibri"/>
            <w:lang w:val="en-US"/>
          </w:rPr>
          <w:t>gr</w:t>
        </w:r>
      </w:hyperlink>
      <w:r>
        <w:rPr>
          <w:rStyle w:val="Rpc41"/>
          <w:rFonts w:cs="Calibri"/>
        </w:rPr>
        <w:t>,</w:t>
      </w:r>
      <w:r>
        <w:rPr>
          <w:rFonts w:cs="Calibri"/>
        </w:rPr>
        <w:t xml:space="preserve"> </w:t>
      </w:r>
      <w:hyperlink r:id="rId8">
        <w:r>
          <w:rPr>
            <w:rStyle w:val="InternetLink"/>
            <w:rFonts w:cs="Calibri"/>
            <w:color w:val="0000FF"/>
            <w:u w:val="single"/>
            <w:lang w:val="en-US"/>
          </w:rPr>
          <w:t>archsci</w:t>
        </w:r>
        <w:r>
          <w:rPr>
            <w:rStyle w:val="InternetLink"/>
            <w:rFonts w:cs="Calibri"/>
            <w:color w:val="0000FF"/>
            <w:u w:val="single"/>
          </w:rPr>
          <w:t>@</w:t>
        </w:r>
        <w:r>
          <w:rPr>
            <w:rStyle w:val="InternetLink"/>
            <w:rFonts w:cs="Calibri"/>
            <w:color w:val="0000FF"/>
            <w:u w:val="single"/>
            <w:lang w:val="en-US"/>
          </w:rPr>
          <w:t>aegean</w:t>
        </w:r>
        <w:r>
          <w:rPr>
            <w:rStyle w:val="InternetLink"/>
            <w:rFonts w:cs="Calibri"/>
            <w:color w:val="0000FF"/>
            <w:u w:val="single"/>
          </w:rPr>
          <w:t>.</w:t>
        </w:r>
        <w:r>
          <w:rPr>
            <w:rStyle w:val="InternetLink"/>
            <w:rFonts w:cs="Calibri"/>
            <w:color w:val="0000FF"/>
            <w:u w:val="single"/>
            <w:lang w:val="en-US"/>
          </w:rPr>
          <w:t>gr</w:t>
        </w:r>
      </w:hyperlink>
      <w:r>
        <w:rPr>
          <w:rFonts w:cs="Calibri"/>
          <w:color w:val="0000FF"/>
          <w:u w:val="single"/>
        </w:rPr>
        <w:t xml:space="preserve">, </w:t>
      </w:r>
      <w:r>
        <w:rPr>
          <w:rFonts w:eastAsia="Times New Roman" w:cs="Calibri"/>
          <w:lang w:eastAsia="el-GR"/>
        </w:rPr>
        <w:t>στην ιστοσελίδα του ΠΜΣ http://archsci.aegean.gr/</w:t>
      </w:r>
    </w:p>
    <w:p>
      <w:pPr>
        <w:pStyle w:val="Normal"/>
        <w:keepNext/>
        <w:numPr>
          <w:ilvl w:val="0"/>
          <w:numId w:val="0"/>
        </w:numPr>
        <w:spacing w:lineRule="auto" w:line="240" w:before="0" w:after="0"/>
        <w:jc w:val="center"/>
        <w:outlineLvl w:val="5"/>
        <w:rPr>
          <w:rFonts w:ascii="Calibri" w:hAnsi="Calibri" w:eastAsia="Arial Unicode MS" w:cs="Calibri"/>
          <w:b/>
          <w:b/>
          <w:lang w:eastAsia="el-GR"/>
        </w:rPr>
      </w:pPr>
      <w:r>
        <w:rPr>
          <w:rFonts w:eastAsia="Arial Unicode MS" w:cs="Calibri"/>
          <w:b/>
          <w:lang w:eastAsia="el-GR"/>
        </w:rPr>
        <w:t xml:space="preserve">                                                                                                                    </w:t>
      </w:r>
      <w:r>
        <w:rPr>
          <w:rFonts w:eastAsia="Arial Unicode MS" w:cs="Calibri"/>
          <w:b/>
          <w:lang w:eastAsia="el-GR"/>
        </w:rPr>
        <w:t>Ο Πρόεδρος του Τμήματος</w:t>
      </w:r>
    </w:p>
    <w:p>
      <w:pPr>
        <w:pStyle w:val="Normal"/>
        <w:keepNext/>
        <w:numPr>
          <w:ilvl w:val="0"/>
          <w:numId w:val="0"/>
        </w:numPr>
        <w:spacing w:lineRule="auto" w:line="240" w:before="0" w:after="0"/>
        <w:ind w:left="5760" w:hanging="0"/>
        <w:outlineLvl w:val="5"/>
        <w:rPr>
          <w:rFonts w:ascii="Calibri" w:hAnsi="Calibri" w:eastAsia="Arial Unicode MS" w:cs="Calibri"/>
          <w:highlight w:val="yellow"/>
          <w:lang w:eastAsia="el-GR"/>
        </w:rPr>
      </w:pPr>
      <w:r>
        <w:rPr>
          <w:rFonts w:eastAsia="Arial Unicode MS" w:cs="Calibri"/>
          <w:lang w:eastAsia="el-GR"/>
        </w:rPr>
        <w:t xml:space="preserve">           </w:t>
      </w:r>
      <w:r>
        <w:rPr>
          <w:rFonts w:eastAsia="Arial Unicode MS" w:cs="Calibri"/>
          <w:lang w:eastAsia="el-GR"/>
        </w:rPr>
        <w:t xml:space="preserve">Καθηγητής Ιωάννης Σεϊμένης </w:t>
      </w:r>
    </w:p>
    <w:p>
      <w:pPr>
        <w:pStyle w:val="Normal"/>
        <w:keepNext/>
        <w:numPr>
          <w:ilvl w:val="0"/>
          <w:numId w:val="0"/>
        </w:numPr>
        <w:spacing w:lineRule="auto" w:line="240" w:before="0" w:after="0"/>
        <w:jc w:val="center"/>
        <w:outlineLvl w:val="5"/>
        <w:rPr/>
      </w:pPr>
      <w:r>
        <w:rPr>
          <w:rFonts w:eastAsia="Arial Unicode MS" w:cs="Calibri"/>
          <w:lang w:eastAsia="el-GR"/>
        </w:rPr>
        <w:t xml:space="preserve">                                                                              </w:t>
      </w:r>
    </w:p>
    <w:sectPr>
      <w:footerReference w:type="default" r:id="rId9"/>
      <w:type w:val="nextPage"/>
      <w:pgSz w:w="11906" w:h="16838"/>
      <w:pgMar w:left="1134" w:right="1274"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40924584"/>
    </w:sdtPr>
    <w:sdtContent>
      <w:p>
        <w:pPr>
          <w:pStyle w:val="Footer"/>
          <w:jc w:val="right"/>
          <w:rPr/>
        </w:pPr>
        <w:r>
          <w:rPr/>
          <w:fldChar w:fldCharType="begin"/>
        </w:r>
        <w:r>
          <w:instrText> PAGE </w:instrText>
        </w:r>
        <w:r>
          <w:fldChar w:fldCharType="separate"/>
        </w:r>
        <w:r>
          <w:t>4</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rFonts w:ascii="Calibri" w:hAnsi="Calibri"/>
        <w:color w:val="00000A"/>
      </w:rPr>
    </w:lvl>
    <w:lvl w:ilvl="1">
      <w:start w:val="1"/>
      <w:numFmt w:val="decimal"/>
      <w:lvlText w:val="%2."/>
      <w:lvlJc w:val="left"/>
      <w:pPr>
        <w:tabs>
          <w:tab w:val="num" w:pos="1440"/>
        </w:tabs>
        <w:ind w:left="1440" w:hanging="360"/>
      </w:pPr>
      <w:rPr>
        <w:sz w:val="22"/>
        <w:rFonts w:cs="Arial Unicode M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262832"/>
    <w:rPr>
      <w:rFonts w:ascii="Tahoma" w:hAnsi="Tahoma" w:cs="Tahoma"/>
      <w:sz w:val="16"/>
      <w:szCs w:val="16"/>
    </w:rPr>
  </w:style>
  <w:style w:type="character" w:styleId="InternetLink">
    <w:name w:val="Internet Link"/>
    <w:basedOn w:val="DefaultParagraphFont"/>
    <w:uiPriority w:val="99"/>
    <w:unhideWhenUsed/>
    <w:rsid w:val="0039398a"/>
    <w:rPr>
      <w:color w:val="0000FF" w:themeColor="hyperlink"/>
      <w:u w:val="single"/>
    </w:rPr>
  </w:style>
  <w:style w:type="character" w:styleId="Rpc41" w:customStyle="1">
    <w:name w:val="_rpc_41"/>
    <w:basedOn w:val="DefaultParagraphFont"/>
    <w:qFormat/>
    <w:rsid w:val="00f40a17"/>
    <w:rPr/>
  </w:style>
  <w:style w:type="character" w:styleId="Char1" w:customStyle="1">
    <w:name w:val="Κεφαλίδα Char"/>
    <w:basedOn w:val="DefaultParagraphFont"/>
    <w:link w:val="a5"/>
    <w:uiPriority w:val="99"/>
    <w:qFormat/>
    <w:rsid w:val="0020405a"/>
    <w:rPr/>
  </w:style>
  <w:style w:type="character" w:styleId="Char2" w:customStyle="1">
    <w:name w:val="Υποσέλιδο Char"/>
    <w:basedOn w:val="DefaultParagraphFont"/>
    <w:link w:val="a6"/>
    <w:uiPriority w:val="99"/>
    <w:qFormat/>
    <w:rsid w:val="0020405a"/>
    <w:rPr/>
  </w:style>
  <w:style w:type="character" w:styleId="ListLabel1">
    <w:name w:val="ListLabel 1"/>
    <w:qFormat/>
    <w:rPr>
      <w:rFonts w:ascii="Calibri" w:hAnsi="Calibri"/>
      <w:color w:val="00000A"/>
      <w:sz w:val="22"/>
    </w:rPr>
  </w:style>
  <w:style w:type="character" w:styleId="ListLabel2">
    <w:name w:val="ListLabel 2"/>
    <w:qFormat/>
    <w:rPr>
      <w:rFonts w:cs="Arial Unicode MS"/>
      <w:sz w:val="22"/>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Arial Unicode MS"/>
      <w:sz w:val="22"/>
    </w:rPr>
  </w:style>
  <w:style w:type="character" w:styleId="ListLabel7">
    <w:name w:val="ListLabel 7"/>
    <w:qFormat/>
    <w:rPr>
      <w:rFonts w:eastAsia="Calibri" w:cs=""/>
      <w:color w:val="00000A"/>
      <w:sz w:val="22"/>
    </w:rPr>
  </w:style>
  <w:style w:type="character" w:styleId="ListLabel8">
    <w:name w:val="ListLabel 8"/>
    <w:qFormat/>
    <w:rPr>
      <w:color w:val="00000A"/>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Char"/>
    <w:uiPriority w:val="99"/>
    <w:semiHidden/>
    <w:unhideWhenUsed/>
    <w:qFormat/>
    <w:rsid w:val="00262832"/>
    <w:pPr>
      <w:spacing w:lineRule="auto" w:line="240" w:before="0" w:after="0"/>
    </w:pPr>
    <w:rPr>
      <w:rFonts w:ascii="Tahoma" w:hAnsi="Tahoma" w:cs="Tahoma"/>
      <w:sz w:val="16"/>
      <w:szCs w:val="16"/>
    </w:rPr>
  </w:style>
  <w:style w:type="paragraph" w:styleId="Default" w:customStyle="1">
    <w:name w:val="Default"/>
    <w:qFormat/>
    <w:rsid w:val="006c218b"/>
    <w:pPr>
      <w:widowControl/>
      <w:bidi w:val="0"/>
      <w:spacing w:lineRule="auto" w:line="240" w:before="0" w:after="0"/>
      <w:jc w:val="left"/>
    </w:pPr>
    <w:rPr>
      <w:rFonts w:ascii="Calibri" w:hAnsi="Calibri" w:cs="Calibri" w:eastAsia="Calibri"/>
      <w:color w:val="000000"/>
      <w:sz w:val="24"/>
      <w:szCs w:val="24"/>
      <w:lang w:val="el-GR" w:eastAsia="en-US" w:bidi="ar-SA"/>
    </w:rPr>
  </w:style>
  <w:style w:type="paragraph" w:styleId="ListParagraph">
    <w:name w:val="List Paragraph"/>
    <w:basedOn w:val="Normal"/>
    <w:uiPriority w:val="34"/>
    <w:qFormat/>
    <w:rsid w:val="00e10f44"/>
    <w:pPr>
      <w:spacing w:before="0" w:after="200"/>
      <w:ind w:left="720" w:hanging="0"/>
      <w:contextualSpacing/>
    </w:pPr>
    <w:rPr/>
  </w:style>
  <w:style w:type="paragraph" w:styleId="Header">
    <w:name w:val="Header"/>
    <w:basedOn w:val="Normal"/>
    <w:link w:val="Char0"/>
    <w:uiPriority w:val="99"/>
    <w:unhideWhenUsed/>
    <w:rsid w:val="0020405a"/>
    <w:pPr>
      <w:tabs>
        <w:tab w:val="center" w:pos="4153" w:leader="none"/>
        <w:tab w:val="right" w:pos="8306" w:leader="none"/>
      </w:tabs>
      <w:spacing w:lineRule="auto" w:line="240" w:before="0" w:after="0"/>
    </w:pPr>
    <w:rPr/>
  </w:style>
  <w:style w:type="paragraph" w:styleId="Footer">
    <w:name w:val="Footer"/>
    <w:basedOn w:val="Normal"/>
    <w:link w:val="Char1"/>
    <w:uiPriority w:val="99"/>
    <w:unhideWhenUsed/>
    <w:rsid w:val="0020405a"/>
    <w:pPr>
      <w:tabs>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nautilus.aegean.gr/" TargetMode="External"/><Relationship Id="rId4" Type="http://schemas.openxmlformats.org/officeDocument/2006/relationships/hyperlink" Target="https://nautilus.aegean.gr/applicant_manual.pdf" TargetMode="External"/><Relationship Id="rId5" Type="http://schemas.openxmlformats.org/officeDocument/2006/relationships/hyperlink" Target="mailto:a.lioliou@aegean.gr" TargetMode="External"/><Relationship Id="rId6" Type="http://schemas.openxmlformats.org/officeDocument/2006/relationships/hyperlink" Target="mailto:archsci@aegean.gr" TargetMode="External"/><Relationship Id="rId7" Type="http://schemas.openxmlformats.org/officeDocument/2006/relationships/hyperlink" Target="mailto:a.lioliou@aegean.gr" TargetMode="External"/><Relationship Id="rId8" Type="http://schemas.openxmlformats.org/officeDocument/2006/relationships/hyperlink" Target="mailto:archsci@aegean.gr"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3</Pages>
  <Words>1327</Words>
  <CharactersWithSpaces>7166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2017-07-20T15:23:00Z</dcterms:created>
  <dc:creator>Karamouzou Katia</dc:creator>
  <dc:description/>
  <dc:language>en-US</dc:language>
  <cp:lastModifiedBy>user</cp:lastModifiedBy>
  <cp:lastPrinted>2017-07-20T15:22:00Z</cp:lastPrinted>
  <dcterms:modified xsi:type="dcterms:W3CDTF">2017-07-20T15:23:00Z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